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F2F4" w14:textId="78E4E02C" w:rsidR="004570E7" w:rsidRPr="00282FE8" w:rsidRDefault="004570E7" w:rsidP="004570E7">
      <w:pPr>
        <w:ind w:left="708"/>
        <w:jc w:val="right"/>
        <w:rPr>
          <w:b/>
          <w:bCs/>
        </w:rPr>
      </w:pPr>
      <w:r w:rsidRPr="00282FE8">
        <w:rPr>
          <w:rFonts w:ascii="Times New Roman" w:eastAsia="Times New Roman" w:hAnsi="Times New Roman"/>
          <w:b/>
          <w:bCs/>
          <w:color w:val="000000" w:themeColor="text1"/>
        </w:rPr>
        <w:t xml:space="preserve">Ф НАО </w:t>
      </w:r>
      <w:r w:rsidR="00282FE8" w:rsidRPr="00282FE8">
        <w:rPr>
          <w:rFonts w:ascii="Times New Roman" w:eastAsia="Times New Roman" w:hAnsi="Times New Roman"/>
          <w:b/>
          <w:bCs/>
          <w:color w:val="000000" w:themeColor="text1"/>
          <w:lang w:val="ru-RU"/>
        </w:rPr>
        <w:t>КМУ</w:t>
      </w:r>
      <w:r w:rsidRPr="00282FE8">
        <w:rPr>
          <w:rFonts w:ascii="Times New Roman" w:eastAsia="Times New Roman" w:hAnsi="Times New Roman"/>
          <w:b/>
          <w:bCs/>
          <w:color w:val="000000" w:themeColor="text1"/>
        </w:rPr>
        <w:t xml:space="preserve"> 7-2-03/1 </w:t>
      </w:r>
    </w:p>
    <w:p w14:paraId="5CDB5455" w14:textId="56C4D0C5" w:rsidR="004570E7" w:rsidRDefault="0066005C" w:rsidP="004570E7">
      <w:pPr>
        <w:jc w:val="center"/>
      </w:pPr>
      <w:r w:rsidRPr="0066005C">
        <w:rPr>
          <w:rFonts w:ascii="Times New Roman" w:eastAsia="Times New Roman" w:hAnsi="Times New Roman"/>
          <w:color w:val="000000" w:themeColor="text1"/>
        </w:rPr>
        <w:t>Non-Commercial Joint-Stock Company "Karaganda Medical University"</w:t>
      </w:r>
    </w:p>
    <w:p w14:paraId="653F3B03" w14:textId="77777777" w:rsidR="004570E7" w:rsidRDefault="004570E7" w:rsidP="004570E7">
      <w:pPr>
        <w:jc w:val="center"/>
      </w:pPr>
    </w:p>
    <w:p w14:paraId="45C7BEC7" w14:textId="77777777" w:rsidR="004570E7" w:rsidRDefault="004570E7" w:rsidP="004570E7">
      <w:pPr>
        <w:jc w:val="center"/>
      </w:pPr>
    </w:p>
    <w:p w14:paraId="1AEEA639" w14:textId="77777777" w:rsidR="004570E7" w:rsidRPr="001A45FC" w:rsidRDefault="004570E7" w:rsidP="004570E7">
      <w:pPr>
        <w:jc w:val="center"/>
        <w:rPr>
          <w:rFonts w:ascii="Times New Roman" w:hAnsi="Times New Roman"/>
          <w:sz w:val="28"/>
          <w:szCs w:val="28"/>
        </w:rPr>
      </w:pPr>
    </w:p>
    <w:p w14:paraId="506B8896" w14:textId="77777777" w:rsidR="004570E7" w:rsidRPr="001A45FC" w:rsidRDefault="004570E7" w:rsidP="004570E7">
      <w:pPr>
        <w:jc w:val="center"/>
        <w:rPr>
          <w:rFonts w:ascii="Times New Roman" w:hAnsi="Times New Roman"/>
          <w:sz w:val="28"/>
          <w:szCs w:val="28"/>
        </w:rPr>
      </w:pPr>
    </w:p>
    <w:p w14:paraId="4863BEF4" w14:textId="77777777" w:rsidR="004570E7" w:rsidRPr="001A45FC" w:rsidRDefault="004570E7" w:rsidP="004570E7">
      <w:pPr>
        <w:jc w:val="center"/>
        <w:rPr>
          <w:rFonts w:ascii="Times New Roman" w:hAnsi="Times New Roman"/>
          <w:sz w:val="28"/>
          <w:szCs w:val="28"/>
        </w:rPr>
      </w:pPr>
    </w:p>
    <w:p w14:paraId="0E39A6CA" w14:textId="543C979C" w:rsidR="004570E7" w:rsidRPr="001A45FC" w:rsidRDefault="0066005C" w:rsidP="004570E7">
      <w:pPr>
        <w:jc w:val="center"/>
        <w:rPr>
          <w:rFonts w:ascii="Times New Roman" w:hAnsi="Times New Roman"/>
          <w:sz w:val="28"/>
          <w:szCs w:val="28"/>
        </w:rPr>
      </w:pPr>
      <w:r w:rsidRPr="0066005C">
        <w:rPr>
          <w:rFonts w:ascii="Times New Roman" w:hAnsi="Times New Roman"/>
          <w:b/>
          <w:bCs/>
          <w:sz w:val="28"/>
          <w:szCs w:val="28"/>
          <w:lang w:val="kk-KZ"/>
        </w:rPr>
        <w:t>ABSTRACT OF THE DISSERTATION</w:t>
      </w:r>
    </w:p>
    <w:p w14:paraId="54C0485B" w14:textId="593FFE15" w:rsidR="004570E7" w:rsidRDefault="0066005C" w:rsidP="004570E7">
      <w:pPr>
        <w:jc w:val="center"/>
        <w:rPr>
          <w:rFonts w:ascii="Times New Roman" w:hAnsi="Times New Roman"/>
          <w:sz w:val="28"/>
          <w:szCs w:val="28"/>
        </w:rPr>
      </w:pPr>
      <w:r w:rsidRPr="0066005C">
        <w:rPr>
          <w:rFonts w:ascii="Times New Roman" w:hAnsi="Times New Roman"/>
          <w:sz w:val="28"/>
          <w:szCs w:val="28"/>
        </w:rPr>
        <w:t>for the degree of Doctor of Philosophy (PhD) on the topic:</w:t>
      </w:r>
    </w:p>
    <w:p w14:paraId="61020420" w14:textId="77777777" w:rsidR="00282FE8" w:rsidRPr="005E5E59" w:rsidRDefault="00282FE8" w:rsidP="004570E7">
      <w:pPr>
        <w:jc w:val="center"/>
        <w:rPr>
          <w:rFonts w:ascii="Times New Roman" w:hAnsi="Times New Roman"/>
          <w:sz w:val="28"/>
          <w:szCs w:val="28"/>
        </w:rPr>
      </w:pPr>
    </w:p>
    <w:tbl>
      <w:tblPr>
        <w:tblpPr w:leftFromText="180" w:rightFromText="180" w:vertAnchor="text" w:tblpY="1"/>
        <w:tblOverlap w:val="never"/>
        <w:tblW w:w="0" w:type="auto"/>
        <w:tblLook w:val="04A0" w:firstRow="1" w:lastRow="0" w:firstColumn="1" w:lastColumn="0" w:noHBand="0" w:noVBand="1"/>
      </w:tblPr>
      <w:tblGrid>
        <w:gridCol w:w="9355"/>
      </w:tblGrid>
      <w:tr w:rsidR="004570E7" w:rsidRPr="005E5E59" w14:paraId="2E94C207" w14:textId="77777777" w:rsidTr="00EC1013">
        <w:tc>
          <w:tcPr>
            <w:tcW w:w="9355" w:type="dxa"/>
            <w:shd w:val="clear" w:color="auto" w:fill="auto"/>
          </w:tcPr>
          <w:p w14:paraId="75BEDAE8" w14:textId="77777777" w:rsidR="0066005C" w:rsidRPr="0066005C" w:rsidRDefault="0066005C" w:rsidP="0066005C">
            <w:pPr>
              <w:jc w:val="center"/>
              <w:rPr>
                <w:rFonts w:ascii="Times New Roman" w:hAnsi="Times New Roman"/>
                <w:b/>
                <w:bCs/>
                <w:color w:val="000000" w:themeColor="text1"/>
                <w:spacing w:val="2"/>
                <w:sz w:val="28"/>
                <w:szCs w:val="28"/>
              </w:rPr>
            </w:pPr>
            <w:r w:rsidRPr="0066005C">
              <w:rPr>
                <w:rFonts w:ascii="Times New Roman" w:hAnsi="Times New Roman"/>
                <w:b/>
                <w:bCs/>
                <w:color w:val="000000" w:themeColor="text1"/>
                <w:spacing w:val="2"/>
                <w:sz w:val="28"/>
                <w:szCs w:val="28"/>
              </w:rPr>
              <w:t>Comprehensive assessment of serotonin metabolism in children with congenital heart defects complicated by pulmonary hypertension</w:t>
            </w:r>
          </w:p>
          <w:p w14:paraId="1CC0E16D" w14:textId="1143EBEF" w:rsidR="004570E7" w:rsidRPr="00282FE8" w:rsidRDefault="004570E7" w:rsidP="00282FE8">
            <w:pPr>
              <w:jc w:val="center"/>
              <w:rPr>
                <w:rFonts w:ascii="Times New Roman" w:eastAsia="Times New Roman" w:hAnsi="Times New Roman"/>
                <w:b/>
                <w:bCs/>
                <w:color w:val="000000" w:themeColor="text1"/>
                <w:sz w:val="28"/>
                <w:szCs w:val="28"/>
              </w:rPr>
            </w:pPr>
          </w:p>
        </w:tc>
      </w:tr>
      <w:tr w:rsidR="004570E7" w:rsidRPr="005E5E59" w14:paraId="28DBC61F" w14:textId="77777777" w:rsidTr="00EC1013">
        <w:tc>
          <w:tcPr>
            <w:tcW w:w="9355" w:type="dxa"/>
            <w:shd w:val="clear" w:color="auto" w:fill="auto"/>
          </w:tcPr>
          <w:p w14:paraId="51FB3B28" w14:textId="77777777" w:rsidR="00282FE8" w:rsidRDefault="00282FE8" w:rsidP="00EC1013">
            <w:pPr>
              <w:rPr>
                <w:rFonts w:ascii="Times New Roman" w:hAnsi="Times New Roman"/>
                <w:sz w:val="28"/>
                <w:szCs w:val="28"/>
              </w:rPr>
            </w:pPr>
          </w:p>
          <w:p w14:paraId="343D4949" w14:textId="6CE2A025" w:rsidR="00CB3C94" w:rsidRDefault="0066005C" w:rsidP="00EC1013">
            <w:pPr>
              <w:rPr>
                <w:rFonts w:ascii="Times New Roman" w:hAnsi="Times New Roman"/>
                <w:sz w:val="28"/>
                <w:szCs w:val="28"/>
              </w:rPr>
            </w:pPr>
            <w:r w:rsidRPr="0066005C">
              <w:rPr>
                <w:rFonts w:ascii="Times New Roman" w:hAnsi="Times New Roman" w:cs="Times New Roman"/>
                <w:sz w:val="28"/>
                <w:szCs w:val="28"/>
              </w:rPr>
              <w:t xml:space="preserve">Specialty: </w:t>
            </w:r>
            <w:r w:rsidR="00972D6E" w:rsidRPr="006D5548">
              <w:rPr>
                <w:rFonts w:ascii="Times New Roman" w:hAnsi="Times New Roman" w:cs="Times New Roman"/>
                <w:sz w:val="28"/>
                <w:szCs w:val="28"/>
              </w:rPr>
              <w:t>8D10100</w:t>
            </w:r>
            <w:r w:rsidR="004570E7" w:rsidRPr="0001772C">
              <w:rPr>
                <w:rFonts w:ascii="Times New Roman" w:hAnsi="Times New Roman"/>
                <w:sz w:val="28"/>
                <w:szCs w:val="28"/>
              </w:rPr>
              <w:t xml:space="preserve"> </w:t>
            </w:r>
            <w:r w:rsidR="00282FE8" w:rsidRPr="003018AA">
              <w:rPr>
                <w:rFonts w:ascii="Times New Roman" w:hAnsi="Times New Roman"/>
                <w:sz w:val="28"/>
                <w:szCs w:val="28"/>
                <w:lang w:val="en-US"/>
              </w:rPr>
              <w:t xml:space="preserve">- </w:t>
            </w:r>
            <w:r w:rsidR="004570E7" w:rsidRPr="005E5E59">
              <w:rPr>
                <w:rFonts w:ascii="Times New Roman" w:hAnsi="Times New Roman"/>
                <w:sz w:val="28"/>
                <w:szCs w:val="28"/>
              </w:rPr>
              <w:t>Медицина</w:t>
            </w:r>
          </w:p>
          <w:p w14:paraId="2332C2B3" w14:textId="1273F614" w:rsidR="004570E7" w:rsidRPr="005E5E59" w:rsidRDefault="0066005C" w:rsidP="00EC1013">
            <w:pPr>
              <w:rPr>
                <w:rFonts w:ascii="Times New Roman" w:hAnsi="Times New Roman"/>
                <w:sz w:val="28"/>
                <w:szCs w:val="28"/>
              </w:rPr>
            </w:pPr>
            <w:r w:rsidRPr="0066005C">
              <w:rPr>
                <w:rFonts w:ascii="Times New Roman" w:hAnsi="Times New Roman"/>
                <w:sz w:val="28"/>
                <w:szCs w:val="28"/>
              </w:rPr>
              <w:t xml:space="preserve">Author: </w:t>
            </w:r>
            <w:r w:rsidR="004570E7" w:rsidRPr="005E5E59">
              <w:rPr>
                <w:rFonts w:ascii="Times New Roman" w:hAnsi="Times New Roman"/>
                <w:sz w:val="28"/>
                <w:szCs w:val="28"/>
              </w:rPr>
              <w:t xml:space="preserve"> </w:t>
            </w:r>
            <w:r>
              <w:t xml:space="preserve"> </w:t>
            </w:r>
            <w:r w:rsidRPr="0066005C">
              <w:rPr>
                <w:rFonts w:ascii="Times New Roman" w:hAnsi="Times New Roman"/>
                <w:sz w:val="28"/>
                <w:szCs w:val="28"/>
              </w:rPr>
              <w:t>Ospanova Mariya Daurenbekovna</w:t>
            </w:r>
          </w:p>
          <w:p w14:paraId="30DBBAD7" w14:textId="77777777" w:rsidR="00CB3C94" w:rsidRDefault="00CB3C94" w:rsidP="00EC1013">
            <w:pPr>
              <w:rPr>
                <w:rFonts w:ascii="Times New Roman" w:hAnsi="Times New Roman"/>
                <w:sz w:val="28"/>
                <w:szCs w:val="28"/>
              </w:rPr>
            </w:pPr>
          </w:p>
          <w:p w14:paraId="71A10722" w14:textId="45FCA438" w:rsidR="00CB3C94" w:rsidRPr="005E5E59" w:rsidRDefault="0066005C" w:rsidP="00E07B26">
            <w:pPr>
              <w:jc w:val="both"/>
              <w:rPr>
                <w:rFonts w:ascii="Times New Roman" w:hAnsi="Times New Roman"/>
                <w:sz w:val="28"/>
                <w:szCs w:val="28"/>
              </w:rPr>
            </w:pPr>
            <w:r w:rsidRPr="0066005C">
              <w:rPr>
                <w:rFonts w:ascii="Times New Roman" w:hAnsi="Times New Roman"/>
                <w:sz w:val="28"/>
                <w:szCs w:val="28"/>
              </w:rPr>
              <w:t>Domestic Scientific Advisor</w:t>
            </w:r>
            <w:r w:rsidRPr="0066005C">
              <w:rPr>
                <w:rFonts w:ascii="Times New Roman" w:hAnsi="Times New Roman"/>
                <w:sz w:val="28"/>
                <w:szCs w:val="28"/>
                <w:lang w:val="en-US"/>
              </w:rPr>
              <w:t>: M</w:t>
            </w:r>
            <w:r>
              <w:rPr>
                <w:rFonts w:ascii="Times New Roman" w:hAnsi="Times New Roman"/>
                <w:sz w:val="28"/>
                <w:szCs w:val="28"/>
                <w:lang w:val="en-US"/>
              </w:rPr>
              <w:t xml:space="preserve">indubayeva Farida Anvarovna, </w:t>
            </w:r>
            <w:r w:rsidRPr="0066005C">
              <w:rPr>
                <w:rFonts w:ascii="Times New Roman" w:hAnsi="Times New Roman"/>
                <w:sz w:val="28"/>
                <w:szCs w:val="28"/>
                <w:lang w:val="en-US"/>
              </w:rPr>
              <w:t>Doctor of Medical Sciences, Professor of the Department of Physiology of the Non-Commercial Joint-Stock Company "Karaganda Medical University", Karaganda, Republic of Kazakhstan.</w:t>
            </w:r>
          </w:p>
          <w:p w14:paraId="6CE52BB8" w14:textId="69CD2D8C" w:rsidR="004570E7" w:rsidRPr="005E5E59" w:rsidRDefault="0066005C" w:rsidP="00E07B26">
            <w:pPr>
              <w:jc w:val="both"/>
              <w:rPr>
                <w:rFonts w:ascii="Times New Roman" w:hAnsi="Times New Roman"/>
                <w:sz w:val="28"/>
                <w:szCs w:val="28"/>
              </w:rPr>
            </w:pPr>
            <w:r w:rsidRPr="0066005C">
              <w:rPr>
                <w:rFonts w:ascii="Times New Roman" w:hAnsi="Times New Roman"/>
                <w:sz w:val="28"/>
                <w:szCs w:val="28"/>
                <w:lang w:val="en-US"/>
              </w:rPr>
              <w:t>Foreign Scientific Advisor</w:t>
            </w:r>
            <w:r>
              <w:rPr>
                <w:rFonts w:ascii="Times New Roman" w:hAnsi="Times New Roman"/>
                <w:sz w:val="28"/>
                <w:szCs w:val="28"/>
                <w:lang w:val="en-US"/>
              </w:rPr>
              <w:t xml:space="preserve">: </w:t>
            </w:r>
            <w:r>
              <w:t xml:space="preserve"> </w:t>
            </w:r>
            <w:r w:rsidRPr="0066005C">
              <w:rPr>
                <w:rFonts w:ascii="Times New Roman" w:hAnsi="Times New Roman"/>
                <w:sz w:val="28"/>
                <w:szCs w:val="28"/>
              </w:rPr>
              <w:t>Sadykova Dinara Ilgizarovna, Doctor of Medical Sciences, Professor, Head of the Department of Hospital Pediatrics of the Federal State Budgetary Educational Institution of Higher Education "Kazan State Medical University" of the Ministry of Health of the Russian Federation, Kazan, Russian Federation.</w:t>
            </w:r>
          </w:p>
          <w:p w14:paraId="2ECB27A2" w14:textId="77777777" w:rsidR="004570E7" w:rsidRDefault="004570E7" w:rsidP="00EC1013">
            <w:pPr>
              <w:rPr>
                <w:rFonts w:ascii="Times New Roman" w:hAnsi="Times New Roman"/>
                <w:sz w:val="28"/>
                <w:szCs w:val="28"/>
              </w:rPr>
            </w:pPr>
          </w:p>
          <w:p w14:paraId="42BC3A02" w14:textId="77777777" w:rsidR="004570E7" w:rsidRDefault="004570E7" w:rsidP="00EC1013">
            <w:pPr>
              <w:rPr>
                <w:rFonts w:ascii="Times New Roman" w:hAnsi="Times New Roman"/>
                <w:sz w:val="28"/>
                <w:szCs w:val="28"/>
              </w:rPr>
            </w:pPr>
          </w:p>
          <w:p w14:paraId="132D45A4" w14:textId="77777777" w:rsidR="004570E7" w:rsidRDefault="004570E7" w:rsidP="00EC1013">
            <w:pPr>
              <w:jc w:val="center"/>
              <w:rPr>
                <w:rFonts w:ascii="Times New Roman" w:hAnsi="Times New Roman"/>
                <w:sz w:val="28"/>
                <w:szCs w:val="28"/>
              </w:rPr>
            </w:pPr>
          </w:p>
          <w:p w14:paraId="787FC1A6" w14:textId="77777777" w:rsidR="004570E7" w:rsidRDefault="004570E7" w:rsidP="00EC1013">
            <w:pPr>
              <w:jc w:val="center"/>
              <w:rPr>
                <w:rFonts w:ascii="Times New Roman" w:hAnsi="Times New Roman"/>
                <w:sz w:val="28"/>
                <w:szCs w:val="28"/>
              </w:rPr>
            </w:pPr>
          </w:p>
          <w:p w14:paraId="00FD17DC" w14:textId="77777777" w:rsidR="004570E7" w:rsidRDefault="004570E7" w:rsidP="00EC1013">
            <w:pPr>
              <w:jc w:val="center"/>
              <w:rPr>
                <w:rFonts w:ascii="Times New Roman" w:hAnsi="Times New Roman"/>
                <w:sz w:val="28"/>
                <w:szCs w:val="28"/>
              </w:rPr>
            </w:pPr>
          </w:p>
          <w:p w14:paraId="0D9613E9" w14:textId="77777777" w:rsidR="004570E7" w:rsidRDefault="004570E7" w:rsidP="00EC1013">
            <w:pPr>
              <w:jc w:val="center"/>
              <w:rPr>
                <w:rFonts w:ascii="Times New Roman" w:hAnsi="Times New Roman"/>
                <w:sz w:val="28"/>
                <w:szCs w:val="28"/>
              </w:rPr>
            </w:pPr>
          </w:p>
          <w:p w14:paraId="30A3B863" w14:textId="77777777" w:rsidR="004570E7" w:rsidRDefault="004570E7" w:rsidP="00EC1013">
            <w:pPr>
              <w:jc w:val="center"/>
              <w:rPr>
                <w:rFonts w:ascii="Times New Roman" w:hAnsi="Times New Roman"/>
                <w:sz w:val="28"/>
                <w:szCs w:val="28"/>
              </w:rPr>
            </w:pPr>
          </w:p>
          <w:p w14:paraId="66D1646E" w14:textId="77777777" w:rsidR="004570E7" w:rsidRDefault="004570E7" w:rsidP="00EC1013">
            <w:pPr>
              <w:jc w:val="center"/>
              <w:rPr>
                <w:rFonts w:ascii="Times New Roman" w:hAnsi="Times New Roman"/>
                <w:sz w:val="28"/>
                <w:szCs w:val="28"/>
              </w:rPr>
            </w:pPr>
          </w:p>
          <w:p w14:paraId="5F5D0D12" w14:textId="77777777" w:rsidR="0066005C" w:rsidRDefault="0066005C" w:rsidP="00EC1013">
            <w:pPr>
              <w:jc w:val="center"/>
              <w:rPr>
                <w:rFonts w:ascii="Times New Roman" w:hAnsi="Times New Roman"/>
                <w:sz w:val="28"/>
                <w:szCs w:val="28"/>
              </w:rPr>
            </w:pPr>
          </w:p>
          <w:p w14:paraId="3EFA34A2" w14:textId="77777777" w:rsidR="004570E7" w:rsidRDefault="004570E7" w:rsidP="00EC1013">
            <w:pPr>
              <w:jc w:val="center"/>
              <w:rPr>
                <w:rFonts w:ascii="Times New Roman" w:hAnsi="Times New Roman"/>
                <w:sz w:val="28"/>
                <w:szCs w:val="28"/>
              </w:rPr>
            </w:pPr>
          </w:p>
          <w:p w14:paraId="6C5D6E90" w14:textId="77777777" w:rsidR="0066005C" w:rsidRPr="0066005C" w:rsidRDefault="0066005C" w:rsidP="0066005C">
            <w:pPr>
              <w:jc w:val="center"/>
              <w:rPr>
                <w:rFonts w:ascii="Times New Roman" w:hAnsi="Times New Roman"/>
                <w:sz w:val="28"/>
                <w:szCs w:val="28"/>
                <w:lang w:val="ru-RU"/>
              </w:rPr>
            </w:pPr>
            <w:r w:rsidRPr="0066005C">
              <w:rPr>
                <w:rFonts w:ascii="Times New Roman" w:hAnsi="Times New Roman"/>
                <w:sz w:val="28"/>
                <w:szCs w:val="28"/>
                <w:lang w:val="ru-RU"/>
              </w:rPr>
              <w:t>Republic of Kazakhstan</w:t>
            </w:r>
          </w:p>
          <w:p w14:paraId="63860E34" w14:textId="1E74EC65" w:rsidR="004570E7" w:rsidRPr="006E27CF" w:rsidRDefault="0066005C" w:rsidP="0066005C">
            <w:pPr>
              <w:jc w:val="center"/>
              <w:rPr>
                <w:rFonts w:ascii="Times New Roman" w:hAnsi="Times New Roman"/>
                <w:sz w:val="28"/>
                <w:szCs w:val="28"/>
              </w:rPr>
            </w:pPr>
            <w:r w:rsidRPr="0066005C">
              <w:rPr>
                <w:rFonts w:ascii="Times New Roman" w:hAnsi="Times New Roman"/>
                <w:sz w:val="28"/>
                <w:szCs w:val="28"/>
                <w:lang w:val="ru-RU"/>
              </w:rPr>
              <w:t>Karaganda, 202</w:t>
            </w:r>
            <w:r>
              <w:rPr>
                <w:rFonts w:ascii="Times New Roman" w:hAnsi="Times New Roman"/>
                <w:sz w:val="28"/>
                <w:szCs w:val="28"/>
                <w:lang w:val="ru-RU"/>
              </w:rPr>
              <w:t>6</w:t>
            </w:r>
          </w:p>
        </w:tc>
      </w:tr>
    </w:tbl>
    <w:p w14:paraId="0255ECAE" w14:textId="77777777" w:rsidR="004570E7" w:rsidRPr="004570E7" w:rsidRDefault="004570E7" w:rsidP="004570E7">
      <w:pPr>
        <w:ind w:firstLine="709"/>
        <w:jc w:val="both"/>
        <w:rPr>
          <w:rFonts w:ascii="Times New Roman" w:hAnsi="Times New Roman" w:cs="Times New Roman"/>
          <w:b/>
          <w:bCs/>
          <w:sz w:val="28"/>
          <w:szCs w:val="28"/>
          <w:lang w:val="ru-RU"/>
        </w:rPr>
      </w:pPr>
    </w:p>
    <w:p w14:paraId="5B457FBF" w14:textId="4026219D" w:rsidR="003018AA" w:rsidRPr="003018AA" w:rsidRDefault="003018AA" w:rsidP="003018AA">
      <w:pPr>
        <w:ind w:firstLine="709"/>
        <w:jc w:val="both"/>
        <w:rPr>
          <w:rFonts w:ascii="Times New Roman" w:hAnsi="Times New Roman" w:cs="Times New Roman"/>
          <w:sz w:val="28"/>
          <w:szCs w:val="28"/>
        </w:rPr>
      </w:pPr>
      <w:r w:rsidRPr="003018AA">
        <w:rPr>
          <w:rFonts w:ascii="Times New Roman" w:hAnsi="Times New Roman" w:cs="Times New Roman"/>
          <w:b/>
          <w:bCs/>
          <w:sz w:val="28"/>
          <w:szCs w:val="28"/>
        </w:rPr>
        <w:lastRenderedPageBreak/>
        <w:t xml:space="preserve">Relevance of the study. </w:t>
      </w:r>
      <w:r w:rsidRPr="003018AA">
        <w:rPr>
          <w:rFonts w:ascii="Times New Roman" w:hAnsi="Times New Roman" w:cs="Times New Roman"/>
          <w:sz w:val="28"/>
          <w:szCs w:val="28"/>
        </w:rPr>
        <w:t>Pulmonary arterial hypertension (PAH) is rightly regarded as one of the most severe and prognostically unfavorable complications of congenital heart defects (CHD) in children. This condition is characterized by a persistent increase in pressure in the pulmonary artery system, progressive remodeling of the pulmonary vascular bed, and increasing overload of the right heart chambers, which ultimately leads to the development of chronic heart failure. According to epidemiological studies, the incidence of CHD in the population is about 8 cases per 1000 newborns, while signs of pulmonary hypertension at various stages of the disease are detected in almost one third of patients with this pathology. The vast majority of cases (86%) of secondary PAH occur in infants with transient PAH, including patients with correctable congenital heart defects. The development of PAH significantly complicates the clinical course of CHD, is associated with a high risk of irreversible vascular changes, and significantly increases mortality, especially in conditions of late diagnosis and untimely radical surgical correction [1-4].</w:t>
      </w:r>
    </w:p>
    <w:p w14:paraId="5CC8F3B6" w14:textId="71255476" w:rsidR="003018AA" w:rsidRPr="003018AA" w:rsidRDefault="003018AA" w:rsidP="003018AA">
      <w:pPr>
        <w:ind w:firstLine="709"/>
        <w:jc w:val="both"/>
        <w:rPr>
          <w:rFonts w:ascii="Times New Roman" w:hAnsi="Times New Roman" w:cs="Times New Roman"/>
          <w:sz w:val="28"/>
          <w:szCs w:val="28"/>
        </w:rPr>
      </w:pPr>
      <w:r w:rsidRPr="003018AA">
        <w:rPr>
          <w:rFonts w:ascii="Times New Roman" w:hAnsi="Times New Roman" w:cs="Times New Roman"/>
          <w:sz w:val="28"/>
          <w:szCs w:val="28"/>
        </w:rPr>
        <w:t>Despite significant progress in cardiac surgery and the introduction of modern methods of early CHD correction, the problem of PAH in pediatric cardiology remains relevant. In some patients, even after elimination of the anatomical defect and normalization of systemic blood flow, signs of pulmonary hypertension of varying severity continue to be recorded [4]. In this regard, there is increasing interest in studying the molecular and biochemical mechanisms underlying the formation and progression of this condition, as well as in the search for pathogenetically significant markers capable of reflecting the dynamics of the disease and the effectiveness of the treatment.</w:t>
      </w:r>
    </w:p>
    <w:p w14:paraId="72A3131C" w14:textId="2598C75F" w:rsidR="003018AA" w:rsidRPr="003018AA" w:rsidRDefault="003018AA" w:rsidP="003018AA">
      <w:pPr>
        <w:ind w:firstLine="709"/>
        <w:jc w:val="both"/>
        <w:rPr>
          <w:rFonts w:ascii="Times New Roman" w:hAnsi="Times New Roman" w:cs="Times New Roman"/>
          <w:sz w:val="28"/>
          <w:szCs w:val="28"/>
        </w:rPr>
      </w:pPr>
      <w:r w:rsidRPr="003018AA">
        <w:rPr>
          <w:rFonts w:ascii="Times New Roman" w:hAnsi="Times New Roman" w:cs="Times New Roman"/>
          <w:sz w:val="28"/>
          <w:szCs w:val="28"/>
        </w:rPr>
        <w:t>The development of PAH in CHD is based on long-standing pathological blood flow through intracardiac and extracardiac shunts, such as ventricular and atrial septal defects, as well as patent ductus arteriosus. Chronic overload of the pulmonary circulation leads to increased shear stress on the vascular wall, persistent spasm of the pulmonary arteries, and gradual formation of endothelial dysfunction. Subsequently, processes of medial hypertrophy, smooth muscle cell proliferation, and intimal thickening are triggered, which cause progressive remodeling of the pulmonary vessels and a decrease in their reactivity. At a certain stage, these changes become irreversible, which limits the possibility of restoring normal pulmonary hemodynamics even after successful surgical correction of CHD [5,6].</w:t>
      </w:r>
    </w:p>
    <w:p w14:paraId="0EA9CE26" w14:textId="192E7059" w:rsidR="003018AA" w:rsidRPr="003018AA" w:rsidRDefault="003018AA" w:rsidP="003018AA">
      <w:pPr>
        <w:ind w:firstLine="709"/>
        <w:jc w:val="both"/>
        <w:rPr>
          <w:rFonts w:ascii="Times New Roman" w:hAnsi="Times New Roman" w:cs="Times New Roman"/>
          <w:sz w:val="28"/>
          <w:szCs w:val="28"/>
        </w:rPr>
      </w:pPr>
      <w:r w:rsidRPr="003018AA">
        <w:rPr>
          <w:rFonts w:ascii="Times New Roman" w:hAnsi="Times New Roman" w:cs="Times New Roman"/>
          <w:sz w:val="28"/>
          <w:szCs w:val="28"/>
        </w:rPr>
        <w:t xml:space="preserve">One of the key factors of vascular remodeling in PAH is serotonin (5-hydroxytryptamine, 5-HT), which has a pronounced vasoconstrictor and mitogenic effect. A number of studies have shown that an increase in blood serotonin concentration is associated with hyperplasia of smooth muscle cells of the vascular wall, increased expression of serotonin receptors and the serotonin transporter (SERT), as well as activation of intracellular signaling cascades that promote </w:t>
      </w:r>
      <w:r w:rsidRPr="003018AA">
        <w:rPr>
          <w:rFonts w:ascii="Times New Roman" w:hAnsi="Times New Roman" w:cs="Times New Roman"/>
          <w:sz w:val="28"/>
          <w:szCs w:val="28"/>
        </w:rPr>
        <w:lastRenderedPageBreak/>
        <w:t>proliferation and remodeling of the pulmonary arteries. Some changes in the serotonergic system have been described in patients with PAH associated with CHD. However, most published works are cross-sectional in nature and do not allow a full assessment of the dynamics of changes in the serotonergic system in the pre- and postoperative period, which significantly limits the possibilities of practical application of these indicators as markers for monitoring the condition of patients [7, 8].</w:t>
      </w:r>
    </w:p>
    <w:p w14:paraId="406BF0F7" w14:textId="24F6552D" w:rsidR="003018AA" w:rsidRPr="003018AA" w:rsidRDefault="003018AA" w:rsidP="003018AA">
      <w:pPr>
        <w:ind w:firstLine="709"/>
        <w:jc w:val="both"/>
        <w:rPr>
          <w:rFonts w:ascii="Times New Roman" w:hAnsi="Times New Roman" w:cs="Times New Roman"/>
          <w:sz w:val="28"/>
          <w:szCs w:val="28"/>
        </w:rPr>
      </w:pPr>
      <w:r w:rsidRPr="003018AA">
        <w:rPr>
          <w:rFonts w:ascii="Times New Roman" w:hAnsi="Times New Roman" w:cs="Times New Roman"/>
          <w:sz w:val="28"/>
          <w:szCs w:val="28"/>
        </w:rPr>
        <w:t>Along with the serotonergic system, our study included the study of insulin-like growth factor-1 (IGF-1). IGF-1 is involved in the regulation of endothelial cell proliferation and differentiation, angiogenesis, and adaptive responses of the vascular wall to mechanical and hypoxic stress. The literature presents data on changes in IGF-1 levels in various forms of pulmonary hypertension, but the results of these studies remain ambiguous and largely depend on the age of patients, the stage of the disease, and the therapy being administered. Information on the role of IGF-1 in children with CHD complicated by PAH, as well as on its dynamics after surgical correction of the defect, is particularly limited, which highlights the need for further targeted research in this direction [9].</w:t>
      </w:r>
    </w:p>
    <w:p w14:paraId="35234C90" w14:textId="1808CEE8" w:rsidR="003018AA" w:rsidRPr="003018AA" w:rsidRDefault="003018AA" w:rsidP="003018AA">
      <w:pPr>
        <w:ind w:firstLine="709"/>
        <w:jc w:val="both"/>
        <w:rPr>
          <w:rFonts w:ascii="Times New Roman" w:hAnsi="Times New Roman" w:cs="Times New Roman"/>
          <w:sz w:val="28"/>
          <w:szCs w:val="28"/>
        </w:rPr>
      </w:pPr>
      <w:r w:rsidRPr="003018AA">
        <w:rPr>
          <w:rFonts w:ascii="Times New Roman" w:hAnsi="Times New Roman" w:cs="Times New Roman"/>
          <w:sz w:val="28"/>
          <w:szCs w:val="28"/>
        </w:rPr>
        <w:t>Modern approaches to the diagnosis and treatment of PAH in children with CHD are largely focused on clinical and instrumental indicators, while biochemical and molecular markers of the pathogenesis of the disease remain insufficiently integrated into clinical practice. This determines the relevance of a comprehensive analysis of the key regulatory systems involved in the formation of pulmonary vascular pathology.</w:t>
      </w:r>
    </w:p>
    <w:p w14:paraId="44D41A7C" w14:textId="77777777" w:rsidR="003018AA" w:rsidRDefault="003018AA" w:rsidP="003018AA">
      <w:pPr>
        <w:ind w:firstLine="709"/>
        <w:jc w:val="both"/>
        <w:rPr>
          <w:rFonts w:ascii="Times New Roman" w:hAnsi="Times New Roman" w:cs="Times New Roman"/>
          <w:sz w:val="28"/>
          <w:szCs w:val="28"/>
        </w:rPr>
      </w:pPr>
      <w:r w:rsidRPr="003018AA">
        <w:rPr>
          <w:rFonts w:ascii="Times New Roman" w:hAnsi="Times New Roman" w:cs="Times New Roman"/>
          <w:sz w:val="28"/>
          <w:szCs w:val="28"/>
        </w:rPr>
        <w:t>Thus, a comprehensive study of the metabolism of serotonin, its main metabolite 5-HIAA, and insulin-like growth factor-1 in children with PAH in the pre- and postoperative period seems to be a promising direction. This approach will not only deepen the understanding of the pathogenetic mechanisms of the development and persistence of pulmonary hypertension in CHD, but also identify potential biomarkers suitable for early diagnosis, predicting the course of the disease, and objective assessment of the effectiveness of surgical correction.</w:t>
      </w:r>
    </w:p>
    <w:p w14:paraId="23FF434E" w14:textId="77777777" w:rsidR="003018AA" w:rsidRDefault="003018AA" w:rsidP="003018AA">
      <w:pPr>
        <w:ind w:firstLine="709"/>
        <w:jc w:val="both"/>
        <w:rPr>
          <w:rFonts w:ascii="Times New Roman" w:hAnsi="Times New Roman" w:cs="Times New Roman"/>
          <w:sz w:val="28"/>
          <w:szCs w:val="28"/>
        </w:rPr>
      </w:pPr>
      <w:r w:rsidRPr="003018AA">
        <w:rPr>
          <w:rFonts w:ascii="Times New Roman" w:hAnsi="Times New Roman" w:cs="Times New Roman"/>
          <w:b/>
          <w:bCs/>
          <w:sz w:val="28"/>
          <w:szCs w:val="28"/>
        </w:rPr>
        <w:t>Aim of the Study</w:t>
      </w:r>
      <w:r w:rsidRPr="003018AA">
        <w:rPr>
          <w:rFonts w:ascii="Times New Roman" w:hAnsi="Times New Roman" w:cs="Times New Roman"/>
          <w:b/>
          <w:bCs/>
          <w:sz w:val="28"/>
          <w:szCs w:val="28"/>
          <w:lang w:val="en-US"/>
        </w:rPr>
        <w:t xml:space="preserve"> </w:t>
      </w:r>
      <w:r w:rsidR="004570E7" w:rsidRPr="006E27CF">
        <w:rPr>
          <w:rFonts w:ascii="Times New Roman" w:hAnsi="Times New Roman" w:cs="Times New Roman"/>
          <w:sz w:val="28"/>
          <w:szCs w:val="28"/>
        </w:rPr>
        <w:t xml:space="preserve">- </w:t>
      </w:r>
      <w:r w:rsidRPr="003018AA">
        <w:rPr>
          <w:rFonts w:ascii="Times New Roman" w:hAnsi="Times New Roman" w:cs="Times New Roman"/>
          <w:sz w:val="28"/>
          <w:szCs w:val="28"/>
        </w:rPr>
        <w:t>to conduct a comprehensive assessment of serotonin metabolism in children with congenital heart defects complicated by pulmonary hypertension.</w:t>
      </w:r>
    </w:p>
    <w:p w14:paraId="066CEDE7" w14:textId="03C47D15" w:rsidR="003018AA" w:rsidRPr="003018AA" w:rsidRDefault="003018AA" w:rsidP="003018AA">
      <w:pPr>
        <w:ind w:firstLine="709"/>
        <w:jc w:val="both"/>
        <w:rPr>
          <w:rFonts w:ascii="Times New Roman" w:eastAsia="Times New Roman" w:hAnsi="Times New Roman" w:cs="Times New Roman"/>
          <w:b/>
          <w:bCs/>
          <w:sz w:val="28"/>
          <w:szCs w:val="28"/>
          <w:lang w:val="en-US" w:eastAsia="ru-RU"/>
        </w:rPr>
      </w:pPr>
      <w:r w:rsidRPr="00975DAA">
        <w:rPr>
          <w:rFonts w:ascii="Times New Roman" w:eastAsia="Times New Roman" w:hAnsi="Times New Roman" w:cs="Times New Roman"/>
          <w:b/>
          <w:bCs/>
          <w:sz w:val="28"/>
          <w:szCs w:val="28"/>
          <w:lang w:val="en-US" w:eastAsia="ru-RU"/>
        </w:rPr>
        <w:t>Objectives of the Study</w:t>
      </w:r>
      <w:r w:rsidRPr="003018AA">
        <w:rPr>
          <w:rFonts w:ascii="Times New Roman" w:eastAsia="Times New Roman" w:hAnsi="Times New Roman" w:cs="Times New Roman"/>
          <w:b/>
          <w:bCs/>
          <w:sz w:val="28"/>
          <w:szCs w:val="28"/>
          <w:lang w:val="en-US" w:eastAsia="ru-RU"/>
        </w:rPr>
        <w:t xml:space="preserve">: </w:t>
      </w:r>
    </w:p>
    <w:p w14:paraId="4C50996A" w14:textId="77777777" w:rsidR="003018AA" w:rsidRPr="003018AA" w:rsidRDefault="003018AA" w:rsidP="003018AA">
      <w:pPr>
        <w:pStyle w:val="ListParagraph"/>
        <w:numPr>
          <w:ilvl w:val="0"/>
          <w:numId w:val="19"/>
        </w:numPr>
        <w:jc w:val="both"/>
        <w:rPr>
          <w:rFonts w:ascii="Times New Roman" w:eastAsia="Times New Roman" w:hAnsi="Times New Roman" w:cs="Times New Roman"/>
          <w:color w:val="000000"/>
          <w:kern w:val="0"/>
          <w:sz w:val="28"/>
          <w:szCs w:val="28"/>
          <w:lang w:val="en-US"/>
          <w14:ligatures w14:val="none"/>
        </w:rPr>
      </w:pPr>
      <w:r w:rsidRPr="003018AA">
        <w:rPr>
          <w:rFonts w:ascii="Times New Roman" w:eastAsia="Times New Roman" w:hAnsi="Times New Roman" w:cs="Times New Roman"/>
          <w:color w:val="000000"/>
          <w:kern w:val="0"/>
          <w:sz w:val="28"/>
          <w:szCs w:val="28"/>
          <w:lang w:val="en-US"/>
          <w14:ligatures w14:val="none"/>
        </w:rPr>
        <w:t>To investigate the state of the serotonergic system in children with congenital heart defects complicated by pulmonary hypertension, based on indicators of serotonin metabolism, transport, and reception in blood plasma, the platelet pool, and urine.</w:t>
      </w:r>
    </w:p>
    <w:p w14:paraId="4B1A5312" w14:textId="77777777" w:rsidR="003018AA" w:rsidRPr="003018AA" w:rsidRDefault="003018AA" w:rsidP="003018AA">
      <w:pPr>
        <w:pStyle w:val="ListParagraph"/>
        <w:numPr>
          <w:ilvl w:val="0"/>
          <w:numId w:val="19"/>
        </w:numPr>
        <w:jc w:val="both"/>
        <w:rPr>
          <w:rFonts w:ascii="Times New Roman" w:eastAsia="Times New Roman" w:hAnsi="Times New Roman" w:cs="Times New Roman"/>
          <w:color w:val="000000"/>
          <w:kern w:val="0"/>
          <w:sz w:val="28"/>
          <w:szCs w:val="28"/>
          <w:lang w:val="en-US"/>
          <w14:ligatures w14:val="none"/>
        </w:rPr>
      </w:pPr>
      <w:r w:rsidRPr="003018AA">
        <w:rPr>
          <w:rFonts w:ascii="Times New Roman" w:eastAsia="Times New Roman" w:hAnsi="Times New Roman" w:cs="Times New Roman"/>
          <w:color w:val="000000"/>
          <w:kern w:val="0"/>
          <w:sz w:val="28"/>
          <w:szCs w:val="28"/>
          <w:lang w:val="en-US"/>
          <w14:ligatures w14:val="none"/>
        </w:rPr>
        <w:lastRenderedPageBreak/>
        <w:t>To assess the level of insulin-like growth factor-1 (IGF-1) in plasma and platelets and to analyze its relationship with the parameters of the serotonergic system and the clinical and instrumental characteristics of the patients.</w:t>
      </w:r>
    </w:p>
    <w:p w14:paraId="4BF1B207" w14:textId="77777777" w:rsidR="003018AA" w:rsidRPr="003018AA" w:rsidRDefault="003018AA" w:rsidP="003018AA">
      <w:pPr>
        <w:pStyle w:val="ListParagraph"/>
        <w:numPr>
          <w:ilvl w:val="0"/>
          <w:numId w:val="19"/>
        </w:numPr>
        <w:jc w:val="both"/>
        <w:rPr>
          <w:rFonts w:ascii="Times New Roman" w:eastAsia="Times New Roman" w:hAnsi="Times New Roman" w:cs="Times New Roman"/>
          <w:color w:val="000000"/>
          <w:kern w:val="0"/>
          <w:sz w:val="28"/>
          <w:szCs w:val="28"/>
          <w:lang w:val="en-US"/>
          <w14:ligatures w14:val="none"/>
        </w:rPr>
      </w:pPr>
      <w:r w:rsidRPr="003018AA">
        <w:rPr>
          <w:rFonts w:ascii="Times New Roman" w:eastAsia="Times New Roman" w:hAnsi="Times New Roman" w:cs="Times New Roman"/>
          <w:color w:val="000000"/>
          <w:kern w:val="0"/>
          <w:sz w:val="28"/>
          <w:szCs w:val="28"/>
          <w:lang w:val="en-US"/>
          <w14:ligatures w14:val="none"/>
        </w:rPr>
        <w:t>To develop integrated diagnostic indices based on the studied biochemical and molecular indicators and to evaluate their relationship with clinical and instrumental parameters to determine the diagnostic and prognostic significance of these indices.</w:t>
      </w:r>
    </w:p>
    <w:p w14:paraId="1247A43E" w14:textId="77777777" w:rsidR="003018AA" w:rsidRPr="003018AA" w:rsidRDefault="003018AA" w:rsidP="003018AA">
      <w:pPr>
        <w:pStyle w:val="ListParagraph"/>
        <w:numPr>
          <w:ilvl w:val="0"/>
          <w:numId w:val="19"/>
        </w:numPr>
        <w:jc w:val="both"/>
        <w:rPr>
          <w:rFonts w:ascii="Times New Roman" w:eastAsia="Times New Roman" w:hAnsi="Times New Roman" w:cs="Times New Roman"/>
          <w:color w:val="000000"/>
          <w:kern w:val="0"/>
          <w:sz w:val="28"/>
          <w:szCs w:val="28"/>
          <w:lang w:val="en-US"/>
          <w14:ligatures w14:val="none"/>
        </w:rPr>
      </w:pPr>
      <w:r w:rsidRPr="003018AA">
        <w:rPr>
          <w:rFonts w:ascii="Times New Roman" w:eastAsia="Times New Roman" w:hAnsi="Times New Roman" w:cs="Times New Roman"/>
          <w:color w:val="000000"/>
          <w:kern w:val="0"/>
          <w:sz w:val="28"/>
          <w:szCs w:val="28"/>
          <w:lang w:val="en-US"/>
          <w14:ligatures w14:val="none"/>
        </w:rPr>
        <w:t>To evaluate the relationship of the integrated indices with clinical and instrumental parameters and to determine the diagnostic and prognostic significance of these indices.</w:t>
      </w:r>
    </w:p>
    <w:p w14:paraId="0ECBCF52" w14:textId="11B45D8C" w:rsidR="003018AA" w:rsidRPr="003018AA" w:rsidRDefault="003018AA" w:rsidP="003018AA">
      <w:pPr>
        <w:ind w:firstLine="709"/>
        <w:jc w:val="both"/>
        <w:rPr>
          <w:rFonts w:ascii="Times New Roman" w:hAnsi="Times New Roman" w:cs="Times New Roman"/>
          <w:color w:val="000000" w:themeColor="text1"/>
          <w:spacing w:val="2"/>
          <w:sz w:val="28"/>
          <w:szCs w:val="28"/>
        </w:rPr>
      </w:pPr>
      <w:bookmarkStart w:id="0" w:name="OLE_LINK1"/>
      <w:bookmarkStart w:id="1" w:name="OLE_LINK2"/>
      <w:r w:rsidRPr="003018AA">
        <w:rPr>
          <w:rFonts w:ascii="Times New Roman" w:hAnsi="Times New Roman" w:cs="Times New Roman"/>
          <w:b/>
          <w:bCs/>
          <w:color w:val="000000" w:themeColor="text1"/>
          <w:spacing w:val="2"/>
          <w:sz w:val="28"/>
          <w:szCs w:val="28"/>
        </w:rPr>
        <w:t xml:space="preserve">Scientific novelty. </w:t>
      </w:r>
      <w:r w:rsidRPr="003018AA">
        <w:rPr>
          <w:rFonts w:ascii="Times New Roman" w:hAnsi="Times New Roman" w:cs="Times New Roman"/>
          <w:color w:val="000000" w:themeColor="text1"/>
          <w:spacing w:val="2"/>
          <w:sz w:val="28"/>
          <w:szCs w:val="28"/>
        </w:rPr>
        <w:t>For the first time, a comprehensive study of the dynamics of serotonin metabolism and its metabolite 5-hydroxyindoleacetic acid (5-HIAA) in plasma and urine has been conducted in young children with congenital heart defects (CHD) complicated by pulmonary arterial hypertension (PAH), before and after surgical correction.</w:t>
      </w:r>
    </w:p>
    <w:p w14:paraId="305AA953" w14:textId="4F758C77" w:rsidR="003018AA" w:rsidRPr="003018AA" w:rsidRDefault="003018AA" w:rsidP="003018AA">
      <w:pPr>
        <w:ind w:firstLine="709"/>
        <w:jc w:val="both"/>
        <w:rPr>
          <w:rFonts w:ascii="Times New Roman" w:hAnsi="Times New Roman" w:cs="Times New Roman"/>
          <w:color w:val="000000" w:themeColor="text1"/>
          <w:spacing w:val="2"/>
          <w:sz w:val="28"/>
          <w:szCs w:val="28"/>
        </w:rPr>
      </w:pPr>
      <w:r w:rsidRPr="003018AA">
        <w:rPr>
          <w:rFonts w:ascii="Times New Roman" w:hAnsi="Times New Roman" w:cs="Times New Roman"/>
          <w:color w:val="000000" w:themeColor="text1"/>
          <w:spacing w:val="2"/>
          <w:sz w:val="28"/>
          <w:szCs w:val="28"/>
        </w:rPr>
        <w:t>Our study convincingly demonstrates that in patients suffering from PAH, profound changes in the concentration of serotonin and its main metabolite, 5-HIAA, are registered. These shifts, reflecting the complex picture of pathophysiological processes unfolding in the vascular bed of the pulmonary circulation and directly in the pulmonary vascular wall, deserve special attention.</w:t>
      </w:r>
    </w:p>
    <w:p w14:paraId="2E1E3B20" w14:textId="6B9A8B71" w:rsidR="003018AA" w:rsidRPr="003018AA" w:rsidRDefault="003018AA" w:rsidP="003018AA">
      <w:pPr>
        <w:ind w:firstLine="709"/>
        <w:jc w:val="both"/>
        <w:rPr>
          <w:rFonts w:ascii="Times New Roman" w:hAnsi="Times New Roman" w:cs="Times New Roman"/>
          <w:color w:val="000000" w:themeColor="text1"/>
          <w:spacing w:val="2"/>
          <w:sz w:val="28"/>
          <w:szCs w:val="28"/>
        </w:rPr>
      </w:pPr>
      <w:r w:rsidRPr="003018AA">
        <w:rPr>
          <w:rFonts w:ascii="Times New Roman" w:hAnsi="Times New Roman" w:cs="Times New Roman"/>
          <w:color w:val="000000" w:themeColor="text1"/>
          <w:spacing w:val="2"/>
          <w:sz w:val="28"/>
          <w:szCs w:val="28"/>
        </w:rPr>
        <w:t>For the first time, we have obtained data establishing a direct relationship between the level of serotonin circulating in plasma and the activity of the serotonin transporter. Moreover, a clear dynamics of these indicators has been traced, undergoing characteristic changes after the performed surgical intervention.</w:t>
      </w:r>
    </w:p>
    <w:p w14:paraId="16C1DF69" w14:textId="22E46291" w:rsidR="003018AA" w:rsidRPr="003018AA" w:rsidRDefault="003018AA" w:rsidP="003018AA">
      <w:pPr>
        <w:ind w:firstLine="709"/>
        <w:jc w:val="both"/>
        <w:rPr>
          <w:rFonts w:ascii="Times New Roman" w:hAnsi="Times New Roman" w:cs="Times New Roman"/>
          <w:color w:val="000000" w:themeColor="text1"/>
          <w:spacing w:val="2"/>
          <w:sz w:val="28"/>
          <w:szCs w:val="28"/>
        </w:rPr>
      </w:pPr>
      <w:r w:rsidRPr="003018AA">
        <w:rPr>
          <w:rFonts w:ascii="Times New Roman" w:hAnsi="Times New Roman" w:cs="Times New Roman"/>
          <w:color w:val="000000" w:themeColor="text1"/>
          <w:spacing w:val="2"/>
          <w:sz w:val="28"/>
          <w:szCs w:val="28"/>
        </w:rPr>
        <w:t>Despite the indications in the literature on the role of IGF-1 in the regulation of vascular tone and remodeling, its behavior in PAH that developed against the background of CHD in children remained unstudied. Our results fill this gap, allowing us to consider IGF-1 as an additional, pathogenetically significant marker reflecting the processes of vascular wall remodeling in this complex category of patients.</w:t>
      </w:r>
    </w:p>
    <w:p w14:paraId="1143679B" w14:textId="2EA61989" w:rsidR="003018AA" w:rsidRPr="003018AA" w:rsidRDefault="003018AA" w:rsidP="003018AA">
      <w:pPr>
        <w:ind w:firstLine="709"/>
        <w:jc w:val="both"/>
        <w:rPr>
          <w:rFonts w:ascii="Times New Roman" w:hAnsi="Times New Roman" w:cs="Times New Roman"/>
          <w:color w:val="000000" w:themeColor="text1"/>
          <w:spacing w:val="2"/>
          <w:sz w:val="28"/>
          <w:szCs w:val="28"/>
        </w:rPr>
      </w:pPr>
      <w:r w:rsidRPr="003018AA">
        <w:rPr>
          <w:rFonts w:ascii="Times New Roman" w:hAnsi="Times New Roman" w:cs="Times New Roman"/>
          <w:color w:val="000000" w:themeColor="text1"/>
          <w:spacing w:val="2"/>
          <w:sz w:val="28"/>
          <w:szCs w:val="28"/>
        </w:rPr>
        <w:t>For the first time, a comparative analysis of the dynamics of IGF-1 in relation to serotonin metabolism indicators has also been carried out. The performed comparison made it possible not only to state the parallelism of changes, but also to identify previously unknown pathogenetic links responsible for the progression of pulmonary hypertension even after successfully performed surgical treatment.</w:t>
      </w:r>
    </w:p>
    <w:p w14:paraId="75CD2F28" w14:textId="352E73D6" w:rsidR="003018AA" w:rsidRPr="003018AA" w:rsidRDefault="003018AA" w:rsidP="003018AA">
      <w:pPr>
        <w:ind w:firstLine="709"/>
        <w:jc w:val="both"/>
        <w:rPr>
          <w:rFonts w:ascii="Times New Roman" w:hAnsi="Times New Roman" w:cs="Times New Roman"/>
          <w:color w:val="000000" w:themeColor="text1"/>
          <w:spacing w:val="2"/>
          <w:sz w:val="28"/>
          <w:szCs w:val="28"/>
        </w:rPr>
      </w:pPr>
      <w:r w:rsidRPr="003018AA">
        <w:rPr>
          <w:rFonts w:ascii="Times New Roman" w:hAnsi="Times New Roman" w:cs="Times New Roman"/>
          <w:color w:val="000000" w:themeColor="text1"/>
          <w:spacing w:val="2"/>
          <w:sz w:val="28"/>
          <w:szCs w:val="28"/>
        </w:rPr>
        <w:t xml:space="preserve">Analyzing early studies on PAH in children, one cannot fail to notice their fragmentation: individual parameters of the serotonergic system, whether it be the concentration of serotonin, the level of its metabolite (5-HIAA), or the activity of the SERT transporter, were studied in isolation. A comprehensive assessment of serotonin metabolism as an integral, integrative system in children with CHD </w:t>
      </w:r>
      <w:r w:rsidRPr="003018AA">
        <w:rPr>
          <w:rFonts w:ascii="Times New Roman" w:hAnsi="Times New Roman" w:cs="Times New Roman"/>
          <w:color w:val="000000" w:themeColor="text1"/>
          <w:spacing w:val="2"/>
          <w:sz w:val="28"/>
          <w:szCs w:val="28"/>
        </w:rPr>
        <w:lastRenderedPageBreak/>
        <w:t>complicated by PAH has not yet been undertaken (at least, in the scientific literature available to us). The present work fills this gap: for the first time, a generalized study is presented that covers the key links of serotonin metabolism and traces their dynamics both before and after surgical correction of the defect.</w:t>
      </w:r>
    </w:p>
    <w:p w14:paraId="49E15576" w14:textId="521EB521" w:rsidR="003018AA" w:rsidRPr="003018AA" w:rsidRDefault="003018AA" w:rsidP="003018AA">
      <w:pPr>
        <w:ind w:firstLine="709"/>
        <w:jc w:val="both"/>
        <w:rPr>
          <w:rFonts w:ascii="Times New Roman" w:hAnsi="Times New Roman" w:cs="Times New Roman"/>
          <w:color w:val="000000" w:themeColor="text1"/>
          <w:spacing w:val="2"/>
          <w:sz w:val="28"/>
          <w:szCs w:val="28"/>
        </w:rPr>
      </w:pPr>
      <w:r w:rsidRPr="003018AA">
        <w:rPr>
          <w:rFonts w:ascii="Times New Roman" w:hAnsi="Times New Roman" w:cs="Times New Roman"/>
          <w:color w:val="000000" w:themeColor="text1"/>
          <w:spacing w:val="2"/>
          <w:sz w:val="28"/>
          <w:szCs w:val="28"/>
        </w:rPr>
        <w:t>Taken together, the obtained results not only allow us to characterize from new positions the influence of the serotonergic system and IGF-1 on the development and course of PAH in children with congenital heart defects, but also significantly expand existing ideas about the metabolic aspects of vascular remodeling, and also open up additional opportunities for assessing the effectiveness of the performed surgical intervention.</w:t>
      </w:r>
    </w:p>
    <w:p w14:paraId="1A7FB6BD" w14:textId="77777777" w:rsidR="003018AA" w:rsidRDefault="003018AA" w:rsidP="003018AA">
      <w:pPr>
        <w:ind w:firstLine="709"/>
        <w:jc w:val="both"/>
        <w:rPr>
          <w:rFonts w:ascii="Times New Roman" w:hAnsi="Times New Roman" w:cs="Times New Roman"/>
          <w:color w:val="000000" w:themeColor="text1"/>
          <w:spacing w:val="2"/>
          <w:sz w:val="28"/>
          <w:szCs w:val="28"/>
        </w:rPr>
      </w:pPr>
      <w:r w:rsidRPr="003018AA">
        <w:rPr>
          <w:rFonts w:ascii="Times New Roman" w:hAnsi="Times New Roman" w:cs="Times New Roman"/>
          <w:color w:val="000000" w:themeColor="text1"/>
          <w:spacing w:val="2"/>
          <w:sz w:val="28"/>
          <w:szCs w:val="28"/>
        </w:rPr>
        <w:t>Certificates for intellectual property objects have been obtained: No. 55841 dated March 17, 2025 "Prospects for the use of insulin-like growth factor-1 (IGF-1) in molecular technologies for the diagnosis and treatment of pulmonary hypertension in children"; No. 66780 dated January 28, 2026 "The use of 5-hydroxyindoleacetic acid (5-HIAA) as a method for early diagnosis and prediction of pulmonary hypertension in children."</w:t>
      </w:r>
    </w:p>
    <w:p w14:paraId="5220AADC" w14:textId="7F178B66" w:rsidR="003018AA" w:rsidRPr="003018AA" w:rsidRDefault="003018AA" w:rsidP="003018AA">
      <w:pPr>
        <w:ind w:firstLine="709"/>
        <w:jc w:val="both"/>
        <w:rPr>
          <w:rFonts w:ascii="Times New Roman" w:hAnsi="Times New Roman" w:cs="Times New Roman"/>
          <w:color w:val="000000"/>
          <w:sz w:val="28"/>
          <w:szCs w:val="28"/>
        </w:rPr>
      </w:pPr>
      <w:r w:rsidRPr="003018AA">
        <w:rPr>
          <w:rFonts w:ascii="Times New Roman" w:hAnsi="Times New Roman" w:cs="Times New Roman"/>
          <w:b/>
          <w:color w:val="000000" w:themeColor="text1"/>
          <w:spacing w:val="2"/>
          <w:sz w:val="28"/>
          <w:szCs w:val="28"/>
        </w:rPr>
        <w:t>Practical significance.</w:t>
      </w:r>
      <w:r w:rsidRPr="003018AA">
        <w:rPr>
          <w:rFonts w:ascii="Times New Roman" w:hAnsi="Times New Roman" w:cs="Times New Roman"/>
          <w:b/>
          <w:color w:val="000000" w:themeColor="text1"/>
          <w:spacing w:val="2"/>
          <w:sz w:val="28"/>
          <w:szCs w:val="28"/>
          <w:lang w:val="en-US"/>
        </w:rPr>
        <w:t xml:space="preserve"> </w:t>
      </w:r>
      <w:r w:rsidRPr="003018AA">
        <w:rPr>
          <w:rFonts w:ascii="Times New Roman" w:hAnsi="Times New Roman" w:cs="Times New Roman"/>
          <w:color w:val="000000"/>
          <w:sz w:val="28"/>
          <w:szCs w:val="28"/>
        </w:rPr>
        <w:t>The practical value of our study is determined primarily by the possibility of using the obtained results to improve diagnosis, monitoring, and increase the accuracy of predicting the course of PAH that developed in children against the background of CHD. No less significant is the application of these data for objective assessment of the effectiveness of the performed surgical correction of the defect as a prospect for future research.</w:t>
      </w:r>
    </w:p>
    <w:p w14:paraId="3AFEA358" w14:textId="01625E54" w:rsidR="003018AA" w:rsidRPr="003018AA" w:rsidRDefault="003018AA" w:rsidP="003018AA">
      <w:pPr>
        <w:ind w:firstLine="709"/>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In the course of the work, we identified specific biochemical markers that are sufficiently sensitive and reflect both the severity of hypertensive changes in the pulmonary circulation and the dynamics of vascular remodeling processes. Determination of the concentration of serotonin and its main metabolite 5-HIAA in blood plasma and urine, performed before and after surgery, can serve as a reliable tool for assessing the effectiveness of surgical treatment, as well as the reduction of pulmonary hypertension. In addition, this approach allows monitoring the situation in the postoperative period, promptly identifying cases of persistence of pulmonary hypertension.</w:t>
      </w:r>
    </w:p>
    <w:p w14:paraId="3C284ECC" w14:textId="61E220A6" w:rsidR="003018AA" w:rsidRPr="003018AA" w:rsidRDefault="003018AA" w:rsidP="003018AA">
      <w:pPr>
        <w:ind w:firstLine="709"/>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Separately, the diagnostic and prognostic significance of biomarkers we identified in children with CHD complicated by PAH should be emphasized. Using these indicators in clinical practice, we get the opportunity to implement a personalized approach to patient management, more accurately determine the degree of risk of developing residual pulmonary hypertension, and predict the long-term results of surgical correction with greater confidence.</w:t>
      </w:r>
    </w:p>
    <w:p w14:paraId="1A484222" w14:textId="3B0B5C9E" w:rsidR="003018AA" w:rsidRPr="003018AA" w:rsidRDefault="003018AA" w:rsidP="003018AA">
      <w:pPr>
        <w:ind w:firstLine="709"/>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 xml:space="preserve">Completely new data regarding the dynamics of IGF-1 in this category of patients have also been obtained. The identified patterns allow us to consider IGF-1 as a potential marker that sensitively responds to the processes of vascular wall </w:t>
      </w:r>
      <w:r w:rsidRPr="003018AA">
        <w:rPr>
          <w:rFonts w:ascii="Times New Roman" w:hAnsi="Times New Roman" w:cs="Times New Roman"/>
          <w:color w:val="000000"/>
          <w:sz w:val="28"/>
          <w:szCs w:val="28"/>
        </w:rPr>
        <w:lastRenderedPageBreak/>
        <w:t>remodeling. Being included in standard diagnostic algorithms, the analysis of IGF-1 dynamics can significantly optimize the management tactics of patients who have undergone surgical correction of the defect.</w:t>
      </w:r>
    </w:p>
    <w:p w14:paraId="51C77ED2" w14:textId="3DECEAD9" w:rsidR="003018AA" w:rsidRPr="003018AA" w:rsidRDefault="003018AA" w:rsidP="003018AA">
      <w:pPr>
        <w:ind w:firstLine="709"/>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It seems obvious that a comprehensive study of serotonin metabolism and its derivatives, supplemented by the analysis of IGF-1, opens up new opportunities for a more subtle and accurate assessment of the state of the pulmonary vascular bed. This approach allows not only to timely detect emerging secondary pulmonary hypertension, but also to carry out measures aimed at preventing its further progression.</w:t>
      </w:r>
    </w:p>
    <w:p w14:paraId="0E3EB8D1" w14:textId="44FA4B51" w:rsidR="003018AA" w:rsidRPr="003018AA" w:rsidRDefault="003018AA" w:rsidP="003018AA">
      <w:pPr>
        <w:ind w:firstLine="709"/>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Our results will undoubtedly find application in clinical practice – in the work of cardiologists, cardiac surgeons, and pediatricians who encounter this complex pathology on a daily basis. In addition, the main provisions and conclusions of the study have already been integrated into the educational process of the Non-Commercial Joint-Stock Company "Karaganda Medical University", contributing to the training of future specialists.</w:t>
      </w:r>
    </w:p>
    <w:p w14:paraId="3713D4A1" w14:textId="77777777" w:rsidR="003018AA" w:rsidRDefault="003018AA" w:rsidP="003018AA">
      <w:pPr>
        <w:ind w:firstLine="709"/>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The introduction of the diagnostic and prognostic approaches we have proposed into everyday healthcare practice will help improve the quality of medical care provided to patients with CHD, reduce the risk of developing residual pulmonary hypertension, and ultimately increase the effectiveness of surgical treatment of this severe category of patients.</w:t>
      </w:r>
    </w:p>
    <w:p w14:paraId="75DCF8D9" w14:textId="77777777" w:rsidR="003018AA" w:rsidRDefault="003018AA" w:rsidP="003018AA">
      <w:pPr>
        <w:ind w:firstLine="709"/>
        <w:jc w:val="both"/>
      </w:pPr>
      <w:r w:rsidRPr="003018AA">
        <w:rPr>
          <w:rFonts w:ascii="Times New Roman" w:hAnsi="Times New Roman" w:cs="Times New Roman"/>
          <w:b/>
          <w:bCs/>
          <w:color w:val="000000"/>
          <w:sz w:val="28"/>
          <w:szCs w:val="28"/>
        </w:rPr>
        <w:t>Provisions submitted for defense.</w:t>
      </w:r>
      <w:r w:rsidRPr="003018AA">
        <w:t xml:space="preserve"> </w:t>
      </w:r>
    </w:p>
    <w:p w14:paraId="4C358077" w14:textId="2D3C1ACD" w:rsidR="003018AA" w:rsidRPr="003018AA" w:rsidRDefault="003018AA" w:rsidP="003018AA">
      <w:pPr>
        <w:pStyle w:val="ListParagraph"/>
        <w:numPr>
          <w:ilvl w:val="0"/>
          <w:numId w:val="20"/>
        </w:numPr>
        <w:jc w:val="both"/>
        <w:rPr>
          <w:rFonts w:ascii="Times New Roman" w:hAnsi="Times New Roman" w:cs="Times New Roman"/>
          <w:sz w:val="28"/>
          <w:szCs w:val="28"/>
        </w:rPr>
      </w:pPr>
      <w:r w:rsidRPr="003018AA">
        <w:rPr>
          <w:rFonts w:ascii="Times New Roman" w:hAnsi="Times New Roman" w:cs="Times New Roman"/>
          <w:sz w:val="28"/>
          <w:szCs w:val="28"/>
        </w:rPr>
        <w:t>Disturbances of serotonergic regulation in pulmonary arterial hypertension in children with congenital heart defects are characterized by a change in serotonin distribution, manifested by a decrease in its intraplatelet deposition with a tendency to increase circulating levels (more than 3 times relative to control) in the absence of stable intergroup differences in the concentration of the membrane transporter SERT. These features reflect dysregulation of serotonin deposition and transport processes as one of the pathophysiological mechanisms of this disease.</w:t>
      </w:r>
    </w:p>
    <w:p w14:paraId="3B8E2AF3" w14:textId="77777777" w:rsidR="003018AA" w:rsidRPr="003018AA" w:rsidRDefault="003018AA" w:rsidP="003018AA">
      <w:pPr>
        <w:pStyle w:val="ListParagraph"/>
        <w:numPr>
          <w:ilvl w:val="0"/>
          <w:numId w:val="20"/>
        </w:numPr>
        <w:jc w:val="both"/>
        <w:rPr>
          <w:rFonts w:ascii="Times New Roman" w:hAnsi="Times New Roman" w:cs="Times New Roman"/>
          <w:sz w:val="28"/>
          <w:szCs w:val="28"/>
        </w:rPr>
      </w:pPr>
      <w:r w:rsidRPr="003018AA">
        <w:rPr>
          <w:rFonts w:ascii="Times New Roman" w:hAnsi="Times New Roman" w:cs="Times New Roman"/>
          <w:sz w:val="28"/>
          <w:szCs w:val="28"/>
        </w:rPr>
        <w:t>Serotonin metabolism in pulmonary arterial hypertension in children with congenital heart defects is characterized by an imbalance in its catabolism and excretion, which is manifested by a decrease in the concentration of 5-hydroxyindoleacetic acid (5-HIAA) in blood plasma (1.4 times) while increasing its excretion in urine (6.6 times). The identified features indicate an imbalance between the circulating and metabolic links of the serotonergic system.</w:t>
      </w:r>
    </w:p>
    <w:p w14:paraId="58127E53" w14:textId="77777777" w:rsidR="003018AA" w:rsidRPr="003018AA" w:rsidRDefault="003018AA" w:rsidP="003018AA">
      <w:pPr>
        <w:pStyle w:val="ListParagraph"/>
        <w:numPr>
          <w:ilvl w:val="0"/>
          <w:numId w:val="20"/>
        </w:numPr>
        <w:jc w:val="both"/>
        <w:rPr>
          <w:rFonts w:ascii="Times New Roman" w:hAnsi="Times New Roman" w:cs="Times New Roman"/>
          <w:sz w:val="28"/>
          <w:szCs w:val="28"/>
        </w:rPr>
      </w:pPr>
      <w:r w:rsidRPr="003018AA">
        <w:rPr>
          <w:rFonts w:ascii="Times New Roman" w:hAnsi="Times New Roman" w:cs="Times New Roman"/>
          <w:sz w:val="28"/>
          <w:szCs w:val="28"/>
        </w:rPr>
        <w:t>Pulmonary arterial hypertension in children with congenital heart defects is associated with a decrease in the level of insulin-like growth factor-1 (IGF-1) in blood plasma (1.9 times) in the absence of statistically significant changes in its intraplatelet content, which indicates the predominant role of the systemic pool of growth factors in the pathogenesis of this disease.</w:t>
      </w:r>
    </w:p>
    <w:p w14:paraId="58850C05" w14:textId="77777777" w:rsidR="003018AA" w:rsidRPr="003018AA" w:rsidRDefault="003018AA" w:rsidP="003018AA">
      <w:pPr>
        <w:pStyle w:val="ListParagraph"/>
        <w:numPr>
          <w:ilvl w:val="0"/>
          <w:numId w:val="20"/>
        </w:numPr>
        <w:jc w:val="both"/>
        <w:rPr>
          <w:rFonts w:ascii="Times New Roman" w:hAnsi="Times New Roman" w:cs="Times New Roman"/>
          <w:sz w:val="28"/>
          <w:szCs w:val="28"/>
        </w:rPr>
      </w:pPr>
      <w:r w:rsidRPr="003018AA">
        <w:rPr>
          <w:rFonts w:ascii="Times New Roman" w:hAnsi="Times New Roman" w:cs="Times New Roman"/>
          <w:sz w:val="28"/>
          <w:szCs w:val="28"/>
        </w:rPr>
        <w:lastRenderedPageBreak/>
        <w:t>The formation of integrated diagnostic indices based on indicators of the serotonergic system and IGF-1, such as 5-HIAA platelets/plasma (increased 1.5 times), SERT/serotonin (increased 1.6 times), and IGF-1 plasma/platelets (decreased 14.9 times) in patients compared to controls, makes it possible to quantitatively characterize the intercompartmental redistribution of metabolites and growth factors in pulmonary arterial hypertension in children with congenital heart defects.</w:t>
      </w:r>
    </w:p>
    <w:p w14:paraId="5F7AE7F6" w14:textId="6D0B3D52" w:rsidR="003018AA" w:rsidRPr="003018AA" w:rsidRDefault="003018AA" w:rsidP="003018AA">
      <w:pPr>
        <w:pStyle w:val="ListParagraph"/>
        <w:numPr>
          <w:ilvl w:val="0"/>
          <w:numId w:val="20"/>
        </w:numPr>
        <w:jc w:val="both"/>
        <w:rPr>
          <w:rFonts w:ascii="Times New Roman" w:hAnsi="Times New Roman" w:cs="Times New Roman"/>
          <w:sz w:val="28"/>
          <w:szCs w:val="28"/>
        </w:rPr>
      </w:pPr>
      <w:r w:rsidRPr="003018AA">
        <w:rPr>
          <w:rFonts w:ascii="Times New Roman" w:hAnsi="Times New Roman" w:cs="Times New Roman"/>
          <w:sz w:val="28"/>
          <w:szCs w:val="28"/>
        </w:rPr>
        <w:t>Assessment of the relationship between the obtained integrated indices and clinical-instrumental parameters allows us to determine their high diagnostic and prognostic significance in pulmonary arterial hypertension in children with congenital heart defects, which is confirmed by the presence of strong correlations with hemodynamic parameters and high sensitivity and specificity according to ROC analysis.</w:t>
      </w:r>
      <w:bookmarkEnd w:id="0"/>
      <w:bookmarkEnd w:id="1"/>
    </w:p>
    <w:p w14:paraId="3135D143" w14:textId="1DB6DBAF" w:rsidR="003018AA" w:rsidRPr="003018AA" w:rsidRDefault="003018AA" w:rsidP="003018AA">
      <w:pPr>
        <w:ind w:firstLine="709"/>
        <w:jc w:val="both"/>
        <w:rPr>
          <w:rFonts w:ascii="Times New Roman" w:hAnsi="Times New Roman" w:cs="Times New Roman"/>
          <w:kern w:val="0"/>
          <w:sz w:val="28"/>
          <w:szCs w:val="28"/>
          <w:lang w:val="en-US"/>
        </w:rPr>
      </w:pPr>
      <w:r w:rsidRPr="003018AA">
        <w:rPr>
          <w:rFonts w:ascii="Times New Roman" w:hAnsi="Times New Roman" w:cs="Times New Roman"/>
          <w:b/>
          <w:bCs/>
          <w:kern w:val="0"/>
          <w:sz w:val="28"/>
          <w:szCs w:val="28"/>
          <w:lang w:val="en-US"/>
        </w:rPr>
        <w:t xml:space="preserve">Implementation of the research results. </w:t>
      </w:r>
      <w:r w:rsidRPr="003018AA">
        <w:rPr>
          <w:rFonts w:ascii="Times New Roman" w:hAnsi="Times New Roman" w:cs="Times New Roman"/>
          <w:kern w:val="0"/>
          <w:sz w:val="28"/>
          <w:szCs w:val="28"/>
          <w:lang w:val="en-US"/>
        </w:rPr>
        <w:t>The results of this study have been implemented into the educational process at the Department of Pediatrics with a course in Neonatology through the use of the obtained scientific data in teaching the discipline "Pediatrics in General Medical Practice" to 6th-year students of specialty 6B10102 - "Medicine", and the discipline "Inpatient Treatment of Children and Adolescents" for 5th-year students of specialty 6B10108 - "Pediatrics". The main provisions and conclusions of the work have been integrated into thematic lectures, practical classes, and clinical case discussions (Appendices A, B).</w:t>
      </w:r>
    </w:p>
    <w:p w14:paraId="25438977" w14:textId="0F17C395" w:rsidR="003018AA" w:rsidRPr="003018AA" w:rsidRDefault="003018AA" w:rsidP="003018AA">
      <w:pPr>
        <w:ind w:firstLine="709"/>
        <w:jc w:val="both"/>
        <w:rPr>
          <w:rFonts w:ascii="Times New Roman" w:hAnsi="Times New Roman" w:cs="Times New Roman"/>
          <w:kern w:val="0"/>
          <w:sz w:val="28"/>
          <w:szCs w:val="28"/>
          <w:lang w:val="en-US"/>
        </w:rPr>
      </w:pPr>
      <w:r w:rsidRPr="003018AA">
        <w:rPr>
          <w:rFonts w:ascii="Times New Roman" w:hAnsi="Times New Roman" w:cs="Times New Roman"/>
          <w:b/>
          <w:bCs/>
          <w:kern w:val="0"/>
          <w:sz w:val="28"/>
          <w:szCs w:val="28"/>
          <w:lang w:val="en-US"/>
        </w:rPr>
        <w:t xml:space="preserve">Personal contribution of the author. </w:t>
      </w:r>
      <w:r w:rsidRPr="003018AA">
        <w:rPr>
          <w:rFonts w:ascii="Times New Roman" w:hAnsi="Times New Roman" w:cs="Times New Roman"/>
          <w:kern w:val="0"/>
          <w:sz w:val="28"/>
          <w:szCs w:val="28"/>
          <w:lang w:val="en-US"/>
        </w:rPr>
        <w:t>The doctoral candidate independently performed the selection and analysis of scientific literature, developed the research plan, formulated the aims and objectives, developed the study design, determined the inclusion and exclusion criteria for patients, as well as collected clinical material and prepared medical documentation. The laboratory part of the study was carried out jointly with research staff of the laboratory of the Institute of Life Sciences, Akhmaltdinova L.L., Avdienko O.V. The doctoral candidate performed statistical data processing, interpretation of the results obtained, formulation of conclusions, and writing of the dissertation text.</w:t>
      </w:r>
    </w:p>
    <w:p w14:paraId="7488EC1A" w14:textId="62FBD829" w:rsidR="003018AA" w:rsidRPr="003018AA" w:rsidRDefault="003018AA" w:rsidP="003018AA">
      <w:pPr>
        <w:ind w:firstLine="709"/>
        <w:jc w:val="both"/>
        <w:rPr>
          <w:rFonts w:ascii="Times New Roman" w:hAnsi="Times New Roman" w:cs="Times New Roman"/>
          <w:kern w:val="0"/>
          <w:sz w:val="28"/>
          <w:szCs w:val="28"/>
          <w:lang w:val="en-US"/>
        </w:rPr>
      </w:pPr>
      <w:r w:rsidRPr="003018AA">
        <w:rPr>
          <w:rFonts w:ascii="Times New Roman" w:hAnsi="Times New Roman" w:cs="Times New Roman"/>
          <w:kern w:val="0"/>
          <w:sz w:val="28"/>
          <w:szCs w:val="28"/>
          <w:lang w:val="en-US"/>
        </w:rPr>
        <w:t>The study was conducted within the framework of the grant project IRN AR14871767 "Development of innovative molecular technologies for the diagnosis and evaluation of the effectiveness of treatment of pulmonary arterial hypertension in preschool children" 2022-2024, in which the doctoral candidate acted as the principal investigator at all stages of the work.</w:t>
      </w:r>
    </w:p>
    <w:p w14:paraId="39A076CD" w14:textId="77777777" w:rsidR="003018AA" w:rsidRPr="003018AA" w:rsidRDefault="003018AA" w:rsidP="003018AA">
      <w:pPr>
        <w:ind w:firstLine="709"/>
        <w:jc w:val="both"/>
        <w:rPr>
          <w:rFonts w:ascii="Times New Roman" w:hAnsi="Times New Roman" w:cs="Times New Roman"/>
          <w:kern w:val="0"/>
          <w:sz w:val="28"/>
          <w:szCs w:val="28"/>
          <w:lang w:val="en-US"/>
        </w:rPr>
      </w:pPr>
      <w:r w:rsidRPr="003018AA">
        <w:rPr>
          <w:rFonts w:ascii="Times New Roman" w:hAnsi="Times New Roman" w:cs="Times New Roman"/>
          <w:b/>
          <w:bCs/>
          <w:kern w:val="0"/>
          <w:sz w:val="28"/>
          <w:szCs w:val="28"/>
          <w:lang w:val="en-US"/>
        </w:rPr>
        <w:t xml:space="preserve">Approbation of the work. </w:t>
      </w:r>
      <w:r w:rsidRPr="003018AA">
        <w:rPr>
          <w:rFonts w:ascii="Times New Roman" w:hAnsi="Times New Roman" w:cs="Times New Roman"/>
          <w:kern w:val="0"/>
          <w:sz w:val="28"/>
          <w:szCs w:val="28"/>
          <w:lang w:val="en-US"/>
        </w:rPr>
        <w:t>The main provisions of the study were reported and discussed at the following scientific events:</w:t>
      </w:r>
    </w:p>
    <w:p w14:paraId="311565D9" w14:textId="4DCEBC39" w:rsidR="003018AA" w:rsidRPr="003018AA" w:rsidRDefault="003018AA" w:rsidP="003018AA">
      <w:pPr>
        <w:ind w:firstLine="709"/>
        <w:jc w:val="both"/>
        <w:rPr>
          <w:rFonts w:ascii="Times New Roman" w:hAnsi="Times New Roman" w:cs="Times New Roman"/>
          <w:kern w:val="0"/>
          <w:sz w:val="28"/>
          <w:szCs w:val="28"/>
          <w:lang w:val="en-US"/>
        </w:rPr>
      </w:pPr>
      <w:r w:rsidRPr="003018AA">
        <w:rPr>
          <w:rFonts w:ascii="Times New Roman" w:hAnsi="Times New Roman" w:cs="Times New Roman"/>
          <w:kern w:val="0"/>
          <w:sz w:val="28"/>
          <w:szCs w:val="28"/>
          <w:lang w:val="en-US"/>
        </w:rPr>
        <w:t xml:space="preserve">34th European Pediatrics Conference (Zurich, Switzerland, October 9-10, 2023), where the doctoral candidate presented an oral report on "Study of Serotonin Metabolism in Children with Congenital Heart Defects"; 10th Congress of the </w:t>
      </w:r>
      <w:r w:rsidRPr="003018AA">
        <w:rPr>
          <w:rFonts w:ascii="Times New Roman" w:hAnsi="Times New Roman" w:cs="Times New Roman"/>
          <w:kern w:val="0"/>
          <w:sz w:val="28"/>
          <w:szCs w:val="28"/>
          <w:lang w:val="en-US"/>
        </w:rPr>
        <w:lastRenderedPageBreak/>
        <w:t>European Academy of Paediatric Societies (EAPS 2024) (Vienna, Austria, October 17-20, 2024), where the doctoral candidate presented an oral report on "Biomarkers for Diagnosing and Monitoring Pulmonary Hypertension in Children with Congenital Heart Defects"; XX International / XXIX All-Russian Pirogov Scientific Medical Conference of Students and Young Scientists (Moscow, March 2025), where the doctoral candidate presented an oral report on "Insulin-like growth factor-1 as an indicator of the effectiveness of surgical treatment of congenital heart disease complicated by pulmonary arterial hypertension."</w:t>
      </w:r>
    </w:p>
    <w:p w14:paraId="665AB202" w14:textId="6B6CF3B8" w:rsidR="003018AA" w:rsidRPr="003018AA" w:rsidRDefault="003018AA" w:rsidP="003018AA">
      <w:pPr>
        <w:ind w:firstLine="709"/>
        <w:jc w:val="both"/>
        <w:rPr>
          <w:rFonts w:ascii="Times New Roman" w:hAnsi="Times New Roman" w:cs="Times New Roman"/>
          <w:kern w:val="0"/>
          <w:sz w:val="28"/>
          <w:szCs w:val="28"/>
          <w:lang w:val="en-US"/>
        </w:rPr>
      </w:pPr>
      <w:r w:rsidRPr="003018AA">
        <w:rPr>
          <w:rFonts w:ascii="Times New Roman" w:hAnsi="Times New Roman" w:cs="Times New Roman"/>
          <w:kern w:val="0"/>
          <w:sz w:val="28"/>
          <w:szCs w:val="28"/>
          <w:lang w:val="en-US"/>
        </w:rPr>
        <w:t>The following abstracts have been published: in the collection of scientific works of the X Anniversary Congress "Pulmonary Hypertension – 2022" (Russia, Moscow); XII All-Russian Congress "Pediatric Cardiology – 2022" (Russia, Moscow, December 8-10, 2022); a poster report "Clinical case of pulmonary arterial hypertension in a child with congenital heart disease: difficulties of diagnosis and treatment" was presented at the VI Central Asian International Scientific and Practical Conference "Education of the Future: Wind of Change" (Karaganda, Kazakhstan, April 20-21, 2023); the abstract "The role of the platelet component and the serotonin system in the development of pulmonary arterial hypertension in children with congenital heart defects" was published in the collection of abstracts of the All-Russian Congress "Pulmonary Hypertension – 2023" (Russia, Moscow, December 14-15, 2023); the abstract "The effect of excess serotonin in the embryonic period of ontogenesis on the activity of the membrane serotonin transporter in early postnatal ontogenesis" was published based on the materials of the XXIV Congress of the I.P. Pavlov Physiological Society (St. Petersburg, September 11-15, 2023); the abstract "Features of serotonin metabolism and expression of insulin-like growth factor-1 in children with congenital heart defects complicated by pulmonary hypertension" II All-Russian Conference "Samoylov Readings" (Russia, Kazan, 30.01.2026).</w:t>
      </w:r>
    </w:p>
    <w:p w14:paraId="3599E181" w14:textId="77777777" w:rsidR="003018AA" w:rsidRPr="003018AA" w:rsidRDefault="003018AA" w:rsidP="003018AA">
      <w:pPr>
        <w:ind w:firstLine="709"/>
        <w:jc w:val="both"/>
        <w:rPr>
          <w:rFonts w:ascii="Times New Roman" w:hAnsi="Times New Roman" w:cs="Times New Roman"/>
          <w:b/>
          <w:bCs/>
          <w:kern w:val="0"/>
          <w:sz w:val="28"/>
          <w:szCs w:val="28"/>
          <w:lang w:val="en-US"/>
        </w:rPr>
      </w:pPr>
      <w:r w:rsidRPr="003018AA">
        <w:rPr>
          <w:rFonts w:ascii="Times New Roman" w:hAnsi="Times New Roman" w:cs="Times New Roman"/>
          <w:b/>
          <w:bCs/>
          <w:kern w:val="0"/>
          <w:sz w:val="28"/>
          <w:szCs w:val="28"/>
          <w:lang w:val="en-US"/>
        </w:rPr>
        <w:t xml:space="preserve">Publications on the topic of the dissertation. </w:t>
      </w:r>
      <w:r w:rsidRPr="003018AA">
        <w:rPr>
          <w:rFonts w:ascii="Times New Roman" w:hAnsi="Times New Roman" w:cs="Times New Roman"/>
          <w:kern w:val="0"/>
          <w:sz w:val="28"/>
          <w:szCs w:val="28"/>
          <w:lang w:val="en-US"/>
        </w:rPr>
        <w:t>On the topic of the dissertation, 6 scientific works have been published, including: 2 articles in scientific publications of Kazakhstan recommended by the Committee for Quality Assurance in Science and Education of the Ministry of Science and Higher Education of the Republic of Kazakhstan, 3 articles in international scientific journals included in the Scopus database, 1 monograph; 2 certificates of entry of information into the state register of rights to copyright-protected objects.</w:t>
      </w:r>
    </w:p>
    <w:p w14:paraId="7A60276E" w14:textId="77777777" w:rsidR="003018AA" w:rsidRPr="003018AA" w:rsidRDefault="003018AA" w:rsidP="0090298E">
      <w:pPr>
        <w:ind w:firstLine="709"/>
        <w:jc w:val="both"/>
        <w:rPr>
          <w:rFonts w:ascii="Times New Roman" w:hAnsi="Times New Roman" w:cs="Times New Roman"/>
          <w:b/>
          <w:bCs/>
          <w:kern w:val="0"/>
          <w:sz w:val="28"/>
          <w:szCs w:val="28"/>
          <w:lang w:val="en-US"/>
        </w:rPr>
      </w:pPr>
      <w:r w:rsidRPr="003018AA">
        <w:rPr>
          <w:rFonts w:ascii="Times New Roman" w:hAnsi="Times New Roman" w:cs="Times New Roman"/>
          <w:b/>
          <w:bCs/>
          <w:kern w:val="0"/>
          <w:sz w:val="28"/>
          <w:szCs w:val="28"/>
          <w:lang w:val="en-US"/>
        </w:rPr>
        <w:t>Study design, materials and methods:</w:t>
      </w:r>
    </w:p>
    <w:p w14:paraId="24F796D5" w14:textId="77777777" w:rsidR="003018AA" w:rsidRPr="003018AA" w:rsidRDefault="003018AA" w:rsidP="003018AA">
      <w:pPr>
        <w:ind w:firstLine="709"/>
        <w:jc w:val="both"/>
        <w:rPr>
          <w:rFonts w:ascii="Times New Roman" w:hAnsi="Times New Roman" w:cs="Times New Roman"/>
          <w:color w:val="000000" w:themeColor="text1"/>
          <w:sz w:val="28"/>
          <w:szCs w:val="28"/>
          <w:lang w:val="en-US"/>
        </w:rPr>
      </w:pPr>
      <w:r w:rsidRPr="003018AA">
        <w:rPr>
          <w:rFonts w:ascii="Times New Roman" w:hAnsi="Times New Roman" w:cs="Times New Roman"/>
          <w:color w:val="000000" w:themeColor="text1"/>
          <w:sz w:val="28"/>
          <w:szCs w:val="28"/>
          <w:lang w:val="en-US"/>
        </w:rPr>
        <w:t xml:space="preserve">Study design - a prospective longitudinal comparative study (prospective cohort analysis). The choice of this model is determined by the aim of assessing dynamic changes in the concentration of biomarkers in biological fluids (plasma, platelets, urine) in the same cohort of patients before and after surgical correction of </w:t>
      </w:r>
      <w:r w:rsidRPr="003018AA">
        <w:rPr>
          <w:rFonts w:ascii="Times New Roman" w:hAnsi="Times New Roman" w:cs="Times New Roman"/>
          <w:color w:val="000000" w:themeColor="text1"/>
          <w:sz w:val="28"/>
          <w:szCs w:val="28"/>
          <w:lang w:val="en-US"/>
        </w:rPr>
        <w:lastRenderedPageBreak/>
        <w:t>CHD. The prospective nature of data collection ensured a high level of control over the process and minimized the risks of retrospective bias.</w:t>
      </w:r>
    </w:p>
    <w:p w14:paraId="49622E3D" w14:textId="77777777" w:rsidR="003018AA" w:rsidRPr="003018AA" w:rsidRDefault="003018AA" w:rsidP="003018AA">
      <w:pPr>
        <w:ind w:firstLine="709"/>
        <w:jc w:val="both"/>
        <w:rPr>
          <w:rFonts w:ascii="Times New Roman" w:hAnsi="Times New Roman" w:cs="Times New Roman"/>
          <w:color w:val="000000" w:themeColor="text1"/>
          <w:sz w:val="28"/>
          <w:szCs w:val="28"/>
          <w:lang w:val="en-US"/>
        </w:rPr>
      </w:pPr>
      <w:r w:rsidRPr="003018AA">
        <w:rPr>
          <w:rFonts w:ascii="Times New Roman" w:hAnsi="Times New Roman" w:cs="Times New Roman"/>
          <w:color w:val="000000" w:themeColor="text1"/>
          <w:sz w:val="28"/>
          <w:szCs w:val="28"/>
          <w:lang w:val="en-US"/>
        </w:rPr>
        <w:t>The study protocol was reviewed and approved by the Local Ethics Committee of Karaganda Medical University (Protocol No. 37 dated 29.03.2022). The interests and rights of all minor participants were protected by obtaining written informed consent from their parents or legal representatives.</w:t>
      </w:r>
    </w:p>
    <w:p w14:paraId="5694B13A" w14:textId="77777777" w:rsidR="003018AA" w:rsidRPr="003018AA" w:rsidRDefault="003018AA" w:rsidP="003018AA">
      <w:pPr>
        <w:ind w:firstLine="709"/>
        <w:jc w:val="both"/>
        <w:rPr>
          <w:rFonts w:ascii="Times New Roman" w:hAnsi="Times New Roman" w:cs="Times New Roman"/>
          <w:color w:val="000000" w:themeColor="text1"/>
          <w:sz w:val="28"/>
          <w:szCs w:val="28"/>
          <w:lang w:val="ru-RU"/>
        </w:rPr>
      </w:pPr>
      <w:r w:rsidRPr="003018AA">
        <w:rPr>
          <w:rFonts w:ascii="Times New Roman" w:hAnsi="Times New Roman" w:cs="Times New Roman"/>
          <w:color w:val="000000" w:themeColor="text1"/>
          <w:sz w:val="28"/>
          <w:szCs w:val="28"/>
          <w:lang w:val="en-US"/>
        </w:rPr>
        <w:t xml:space="preserve">The formation of the sample took place from June 2022 to December 2024. </w:t>
      </w:r>
      <w:r w:rsidRPr="003018AA">
        <w:rPr>
          <w:rFonts w:ascii="Times New Roman" w:hAnsi="Times New Roman" w:cs="Times New Roman"/>
          <w:color w:val="000000" w:themeColor="text1"/>
          <w:sz w:val="28"/>
          <w:szCs w:val="28"/>
          <w:lang w:val="ru-RU"/>
        </w:rPr>
        <w:t>The children were divided into three groups:</w:t>
      </w:r>
    </w:p>
    <w:p w14:paraId="215FDA76" w14:textId="77777777" w:rsidR="003018AA" w:rsidRPr="003018AA" w:rsidRDefault="003018AA" w:rsidP="003018AA">
      <w:pPr>
        <w:pStyle w:val="ListParagraph"/>
        <w:numPr>
          <w:ilvl w:val="0"/>
          <w:numId w:val="21"/>
        </w:numPr>
        <w:jc w:val="both"/>
        <w:rPr>
          <w:rFonts w:ascii="Times New Roman" w:hAnsi="Times New Roman" w:cs="Times New Roman"/>
          <w:color w:val="000000" w:themeColor="text1"/>
          <w:sz w:val="28"/>
          <w:szCs w:val="28"/>
          <w:lang w:val="en-US"/>
        </w:rPr>
      </w:pPr>
      <w:r w:rsidRPr="003018AA">
        <w:rPr>
          <w:rFonts w:ascii="Times New Roman" w:hAnsi="Times New Roman" w:cs="Times New Roman"/>
          <w:color w:val="000000" w:themeColor="text1"/>
          <w:sz w:val="28"/>
          <w:szCs w:val="28"/>
          <w:lang w:val="en-US"/>
        </w:rPr>
        <w:t>Group I (n=46) - formed from children with a verified diagnosis of CHD complicated by PAH at the cardiac surgery department of the public enterprise "Multidisciplinary Hospital No. 2 of Karaganda." All patients in this group underwent a baseline examination (time point T1) before planned surgical intervention.</w:t>
      </w:r>
    </w:p>
    <w:p w14:paraId="754C92EB" w14:textId="77777777" w:rsidR="003018AA" w:rsidRPr="003018AA" w:rsidRDefault="003018AA" w:rsidP="003018AA">
      <w:pPr>
        <w:pStyle w:val="ListParagraph"/>
        <w:numPr>
          <w:ilvl w:val="0"/>
          <w:numId w:val="21"/>
        </w:numPr>
        <w:jc w:val="both"/>
        <w:rPr>
          <w:rFonts w:ascii="Times New Roman" w:hAnsi="Times New Roman" w:cs="Times New Roman"/>
          <w:color w:val="000000" w:themeColor="text1"/>
          <w:sz w:val="28"/>
          <w:szCs w:val="28"/>
          <w:lang w:val="en-US"/>
        </w:rPr>
      </w:pPr>
      <w:r w:rsidRPr="003018AA">
        <w:rPr>
          <w:rFonts w:ascii="Times New Roman" w:hAnsi="Times New Roman" w:cs="Times New Roman"/>
          <w:color w:val="000000" w:themeColor="text1"/>
          <w:sz w:val="28"/>
          <w:szCs w:val="28"/>
          <w:lang w:val="en-US"/>
        </w:rPr>
        <w:t>Group II (n=32) - formed from the original cohort and included children who completed longitudinal follow-up and were re-examined in the planned postoperative period (time point T2). The dropout of 14 patients was due to organizational and logistical reasons for follow-up.</w:t>
      </w:r>
    </w:p>
    <w:p w14:paraId="15AD281A" w14:textId="77777777" w:rsidR="003018AA" w:rsidRPr="003018AA" w:rsidRDefault="003018AA" w:rsidP="003018AA">
      <w:pPr>
        <w:pStyle w:val="ListParagraph"/>
        <w:numPr>
          <w:ilvl w:val="0"/>
          <w:numId w:val="21"/>
        </w:numPr>
        <w:jc w:val="both"/>
        <w:rPr>
          <w:rFonts w:ascii="Times New Roman" w:hAnsi="Times New Roman" w:cs="Times New Roman"/>
          <w:color w:val="000000" w:themeColor="text1"/>
          <w:sz w:val="28"/>
          <w:szCs w:val="28"/>
          <w:lang w:val="ru-RU"/>
        </w:rPr>
      </w:pPr>
      <w:r w:rsidRPr="003018AA">
        <w:rPr>
          <w:rFonts w:ascii="Times New Roman" w:hAnsi="Times New Roman" w:cs="Times New Roman"/>
          <w:color w:val="000000" w:themeColor="text1"/>
          <w:sz w:val="28"/>
          <w:szCs w:val="28"/>
          <w:lang w:val="en-US"/>
        </w:rPr>
        <w:t xml:space="preserve">Group III (n=24) - comparison group (control). To determine reference values of the studied biomarkers and conduct a comparative analysis, a group of conditionally healthy children, comparable in age and sex, was assembled. </w:t>
      </w:r>
      <w:r w:rsidRPr="003018AA">
        <w:rPr>
          <w:rFonts w:ascii="Times New Roman" w:hAnsi="Times New Roman" w:cs="Times New Roman"/>
          <w:color w:val="000000" w:themeColor="text1"/>
          <w:sz w:val="28"/>
          <w:szCs w:val="28"/>
          <w:lang w:val="ru-RU"/>
        </w:rPr>
        <w:t>The control group was examined once.</w:t>
      </w:r>
    </w:p>
    <w:p w14:paraId="2EE8221F" w14:textId="77777777" w:rsidR="003018AA" w:rsidRPr="003018AA" w:rsidRDefault="003018AA" w:rsidP="003018AA">
      <w:pPr>
        <w:ind w:firstLine="709"/>
        <w:jc w:val="both"/>
        <w:rPr>
          <w:rFonts w:ascii="Times New Roman" w:hAnsi="Times New Roman" w:cs="Times New Roman"/>
          <w:color w:val="000000" w:themeColor="text1"/>
          <w:sz w:val="28"/>
          <w:szCs w:val="28"/>
          <w:lang w:val="en-US"/>
        </w:rPr>
      </w:pPr>
      <w:r w:rsidRPr="003018AA">
        <w:rPr>
          <w:rFonts w:ascii="Times New Roman" w:hAnsi="Times New Roman" w:cs="Times New Roman"/>
          <w:color w:val="000000" w:themeColor="text1"/>
          <w:sz w:val="28"/>
          <w:szCs w:val="28"/>
          <w:lang w:val="en-US"/>
        </w:rPr>
        <w:t>Statistical analysis was performed using the IBM SPSS Statistics software package (version 26.0). Since the distribution of most indicators deviated from normal, data are presented as median (Me) and interquartile range [25th; 75th percentiles]. When statistically significant differences were detected (p &lt;0.05), the Mann-Whitney U test was used for pairwise comparison of independent groups, and the Wilcoxon signed-rank test was used to assess differences between related samples.</w:t>
      </w:r>
    </w:p>
    <w:p w14:paraId="788C6DF2" w14:textId="77777777" w:rsidR="003018AA" w:rsidRPr="003018AA" w:rsidRDefault="003018AA" w:rsidP="003018AA">
      <w:pPr>
        <w:ind w:firstLine="709"/>
        <w:jc w:val="both"/>
        <w:rPr>
          <w:rFonts w:ascii="Times New Roman" w:hAnsi="Times New Roman" w:cs="Times New Roman"/>
          <w:color w:val="000000" w:themeColor="text1"/>
          <w:sz w:val="28"/>
          <w:szCs w:val="28"/>
          <w:lang w:val="en-US"/>
        </w:rPr>
      </w:pPr>
      <w:r w:rsidRPr="003018AA">
        <w:rPr>
          <w:rFonts w:ascii="Times New Roman" w:hAnsi="Times New Roman" w:cs="Times New Roman"/>
          <w:color w:val="000000" w:themeColor="text1"/>
          <w:sz w:val="28"/>
          <w:szCs w:val="28"/>
          <w:lang w:val="en-US"/>
        </w:rPr>
        <w:t>Spearman's rank correlation coefficient was used to assess the relationship between parameters. The diagnostic efficiency of the studied biomarkers was evaluated using receiver operating characteristic analysis (ROC analysis) with calculation of the area under the curve (AUC), optimal cut-off point, sensitivity, and specificity. In all types of analysis, differences were considered statistically significant at p &lt;0.05.</w:t>
      </w:r>
    </w:p>
    <w:p w14:paraId="3784A670" w14:textId="372744F0" w:rsidR="003018AA" w:rsidRPr="003018AA" w:rsidRDefault="003018AA" w:rsidP="003018AA">
      <w:pPr>
        <w:ind w:firstLine="709"/>
        <w:jc w:val="both"/>
        <w:rPr>
          <w:rStyle w:val="Strong"/>
          <w:rFonts w:ascii="Times New Roman" w:hAnsi="Times New Roman" w:cs="Times New Roman"/>
          <w:b w:val="0"/>
          <w:bCs w:val="0"/>
          <w:color w:val="000000" w:themeColor="text1"/>
          <w:sz w:val="28"/>
          <w:szCs w:val="28"/>
          <w:lang w:val="en-US"/>
        </w:rPr>
      </w:pPr>
      <w:r w:rsidRPr="003018AA">
        <w:rPr>
          <w:rStyle w:val="Strong"/>
          <w:rFonts w:ascii="Times New Roman" w:hAnsi="Times New Roman" w:cs="Times New Roman"/>
          <w:color w:val="0F1115"/>
          <w:sz w:val="28"/>
          <w:szCs w:val="28"/>
        </w:rPr>
        <w:t>Conclusions:</w:t>
      </w:r>
    </w:p>
    <w:p w14:paraId="59FB1266" w14:textId="77777777" w:rsidR="003018AA" w:rsidRPr="003018AA" w:rsidRDefault="003018AA" w:rsidP="003018AA">
      <w:pPr>
        <w:pStyle w:val="ListParagraph"/>
        <w:numPr>
          <w:ilvl w:val="0"/>
          <w:numId w:val="22"/>
        </w:numPr>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 xml:space="preserve">Changes in the parameters of the serotonergic system were revealed, manifested by a violation of the compartmental distribution of serotonin with relative preservation of membrane transport. The concentration of serotonin in the blood plasma of patients with CHD complicated by PAH was characterized by higher values compared to the control group (Me 32.27 and 31.00 ng/ml vs. 10.10 </w:t>
      </w:r>
      <w:r w:rsidRPr="003018AA">
        <w:rPr>
          <w:rFonts w:ascii="Times New Roman" w:hAnsi="Times New Roman" w:cs="Times New Roman"/>
          <w:color w:val="000000"/>
          <w:sz w:val="28"/>
          <w:szCs w:val="28"/>
        </w:rPr>
        <w:lastRenderedPageBreak/>
        <w:t>ng/ml), in the absence of significant differences between the pre- and postoperative periods. At the same time, a statistically significant decrease in the concentration of serotonin in platelets was found compared to healthy children (p=0.049), whereas the concentration of SERT in the platelet pool did not differ significantly between groups (p&gt;0.05). The obtained data indicate a dissociation between circulating serotonin and its intracellular deposition.</w:t>
      </w:r>
    </w:p>
    <w:p w14:paraId="0FFDAB19" w14:textId="77777777" w:rsidR="003018AA" w:rsidRPr="003018AA" w:rsidRDefault="003018AA" w:rsidP="003018AA">
      <w:pPr>
        <w:pStyle w:val="ListParagraph"/>
        <w:numPr>
          <w:ilvl w:val="0"/>
          <w:numId w:val="22"/>
        </w:numPr>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It was found that the concentration of 5-HIAA in the blood plasma of patients with CHD and PAH was lower compared to the control group (Me 8.20 and 8.81 ng/ml vs. 11.33 ng/ml; p=0.02). At the same time, the level of 5-HIAA in urine was significantly higher in children with CHD and PAH before surgery compared to the control group (Me 6.55 vs. 1.00 ng/mmol creatinine; p=0.026) and was characterized by a decrease after surgical correction. The concentration of 5-HIAA in platelets did not differ statistically significantly between groups, indicating a predominant involvement of serotonin catabolism and excretion processes with relative stability of the intraplatelet metabolite depot.</w:t>
      </w:r>
    </w:p>
    <w:p w14:paraId="1199A1F8" w14:textId="77777777" w:rsidR="003018AA" w:rsidRPr="003018AA" w:rsidRDefault="003018AA" w:rsidP="003018AA">
      <w:pPr>
        <w:pStyle w:val="ListParagraph"/>
        <w:numPr>
          <w:ilvl w:val="0"/>
          <w:numId w:val="22"/>
        </w:numPr>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A statistically significant decrease in the level of IGF-1 in the blood plasma of patients with CHD complicated by PAH was revealed compared to the control group. The median concentration of IGF-1 was 8.90 ng/ml before surgery and 11.42 ng/ml after surgery vs. 17.01 ng/ml in conditionally healthy children (p=0.000074). The concentration of IGF-1 in platelets did not differ significantly between groups (p&gt;0.05), despite a trend towards higher values before surgical correction, indicating a predominant involvement of the circulating pool of growth factor in the pathogenetic mechanisms of pulmonary arterial hypertension.</w:t>
      </w:r>
    </w:p>
    <w:p w14:paraId="4DE7704C" w14:textId="77777777" w:rsidR="003018AA" w:rsidRPr="003018AA" w:rsidRDefault="003018AA" w:rsidP="003018AA">
      <w:pPr>
        <w:pStyle w:val="ListParagraph"/>
        <w:numPr>
          <w:ilvl w:val="0"/>
          <w:numId w:val="22"/>
        </w:numPr>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The diagnostic value in assessing metabolic disorders in PAH was confirmed by integrated indices: 5-HIAA platelets/plasma, SERT/serotonin, and especially IGF-1 plasma/platelets (AUC=0.929; sensitivity 95%, specificity 86%), reflecting the intercompartmental redistribution of the studied biomarkers.</w:t>
      </w:r>
    </w:p>
    <w:p w14:paraId="42CBFF35" w14:textId="77777777" w:rsidR="003018AA" w:rsidRPr="003018AA" w:rsidRDefault="003018AA" w:rsidP="003018AA">
      <w:pPr>
        <w:pStyle w:val="ListParagraph"/>
        <w:numPr>
          <w:ilvl w:val="0"/>
          <w:numId w:val="22"/>
        </w:numPr>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 xml:space="preserve">The established correlations between biomarkers of the serotonergic system, integrated indices, and hemodynamic parameters reflect their pathophysiological significance in PAH. Thus, the level of IGF-1 in blood plasma and the IGF-1 plasma/platelets index demonstrated an inverse correlation with estimated systolic pressure in the pulmonary artery (r=-0.44 and r=-0.65, respectively; p&lt;0.05), indicating a relationship between IGF-1 deficiency and redistribution with increasing pulmonary hypertension. Serotonin metabolism indicators were characterized by multidirectional correlations with hemodynamic parameters: the concentration of 5-HIAA in blood plasma correlated inversely with estimated systolic pressure in the pulmonary artery (r=-0.42; p&lt;0.05), whereas the level of 5-HIAA in urine and the integrated indices 5-HIAA plasma/urine and 5-HIAA platelets/plasma had a direct correlation with this parameter (r=0.49; r=0.52 and </w:t>
      </w:r>
      <w:r w:rsidRPr="003018AA">
        <w:rPr>
          <w:rFonts w:ascii="Times New Roman" w:hAnsi="Times New Roman" w:cs="Times New Roman"/>
          <w:color w:val="000000"/>
          <w:sz w:val="28"/>
          <w:szCs w:val="28"/>
        </w:rPr>
        <w:lastRenderedPageBreak/>
        <w:t>r=0.49, respectively; p&lt;0.05), reflecting increased serotonin catabolism and an imbalance between biological media during PAH progression.</w:t>
      </w:r>
    </w:p>
    <w:p w14:paraId="270A67CD" w14:textId="77777777" w:rsidR="003018AA" w:rsidRPr="003018AA" w:rsidRDefault="003018AA" w:rsidP="003018AA">
      <w:pPr>
        <w:pStyle w:val="ListParagraph"/>
        <w:numPr>
          <w:ilvl w:val="0"/>
          <w:numId w:val="22"/>
        </w:numPr>
        <w:jc w:val="both"/>
        <w:rPr>
          <w:rFonts w:ascii="Times New Roman" w:hAnsi="Times New Roman" w:cs="Times New Roman"/>
          <w:color w:val="000000"/>
          <w:sz w:val="28"/>
          <w:szCs w:val="28"/>
        </w:rPr>
      </w:pPr>
      <w:r w:rsidRPr="003018AA">
        <w:rPr>
          <w:rFonts w:ascii="Times New Roman" w:hAnsi="Times New Roman" w:cs="Times New Roman"/>
          <w:color w:val="000000"/>
          <w:sz w:val="28"/>
          <w:szCs w:val="28"/>
        </w:rPr>
        <w:t>According to ROC analysis, the greatest diagnostic accuracy in detecting pulmonary arterial hypertension in children with congenital heart defects was characterized by the level of 5-HIAA in urine (AUC=0.871), the concentration of IGF-1 in blood plasma (AUC=0.781), and the IGF-1 plasma/platelets index (AUC=0.929), which indicates the high sensitivity and specificity of these indicators and their correlation with the degree of vascular remodeling.</w:t>
      </w:r>
    </w:p>
    <w:p w14:paraId="1C3BFCF1" w14:textId="6FF1AF76" w:rsidR="00332B0B" w:rsidRPr="00602EC3" w:rsidRDefault="003018AA" w:rsidP="00734644">
      <w:pPr>
        <w:ind w:firstLine="709"/>
        <w:jc w:val="both"/>
        <w:rPr>
          <w:rFonts w:ascii="Times New Roman" w:hAnsi="Times New Roman" w:cs="Times New Roman"/>
          <w:color w:val="000000"/>
          <w:sz w:val="28"/>
          <w:szCs w:val="28"/>
        </w:rPr>
      </w:pPr>
      <w:r w:rsidRPr="003018AA">
        <w:rPr>
          <w:rFonts w:ascii="Times New Roman" w:hAnsi="Times New Roman" w:cs="Times New Roman"/>
          <w:b/>
          <w:bCs/>
          <w:kern w:val="0"/>
          <w:sz w:val="28"/>
          <w:szCs w:val="28"/>
        </w:rPr>
        <w:t xml:space="preserve">Scope and structure of the dissertation. </w:t>
      </w:r>
      <w:r w:rsidRPr="00602EC3">
        <w:rPr>
          <w:rFonts w:ascii="Times New Roman" w:hAnsi="Times New Roman" w:cs="Times New Roman"/>
          <w:kern w:val="0"/>
          <w:sz w:val="28"/>
          <w:szCs w:val="28"/>
        </w:rPr>
        <w:t>The dissertation contains 10</w:t>
      </w:r>
      <w:r w:rsidR="00602EC3" w:rsidRPr="00602EC3">
        <w:rPr>
          <w:rFonts w:ascii="Times New Roman" w:hAnsi="Times New Roman" w:cs="Times New Roman"/>
          <w:kern w:val="0"/>
          <w:sz w:val="28"/>
          <w:szCs w:val="28"/>
          <w:lang w:val="en-US"/>
        </w:rPr>
        <w:t xml:space="preserve">5 </w:t>
      </w:r>
      <w:r w:rsidRPr="00602EC3">
        <w:rPr>
          <w:rFonts w:ascii="Times New Roman" w:hAnsi="Times New Roman" w:cs="Times New Roman"/>
          <w:kern w:val="0"/>
          <w:sz w:val="28"/>
          <w:szCs w:val="28"/>
        </w:rPr>
        <w:t>pages of typewritten text, consists of an introduction, a literature review, a main part (materials and methods of research, results of own research), a conclusion with conclusions, 28 tables, 1</w:t>
      </w:r>
      <w:r w:rsidR="00602EC3" w:rsidRPr="00602EC3">
        <w:rPr>
          <w:rFonts w:ascii="Times New Roman" w:hAnsi="Times New Roman" w:cs="Times New Roman"/>
          <w:kern w:val="0"/>
          <w:sz w:val="28"/>
          <w:szCs w:val="28"/>
          <w:lang w:val="en-US"/>
        </w:rPr>
        <w:t>2</w:t>
      </w:r>
      <w:r w:rsidRPr="00602EC3">
        <w:rPr>
          <w:rFonts w:ascii="Times New Roman" w:hAnsi="Times New Roman" w:cs="Times New Roman"/>
          <w:kern w:val="0"/>
          <w:sz w:val="28"/>
          <w:szCs w:val="28"/>
        </w:rPr>
        <w:t xml:space="preserve"> figures, and a bibliography including 1</w:t>
      </w:r>
      <w:r w:rsidR="00602EC3" w:rsidRPr="00602EC3">
        <w:rPr>
          <w:rFonts w:ascii="Times New Roman" w:hAnsi="Times New Roman" w:cs="Times New Roman"/>
          <w:kern w:val="0"/>
          <w:sz w:val="28"/>
          <w:szCs w:val="28"/>
          <w:lang w:val="en-US"/>
        </w:rPr>
        <w:t>1</w:t>
      </w:r>
      <w:r w:rsidRPr="00602EC3">
        <w:rPr>
          <w:rFonts w:ascii="Times New Roman" w:hAnsi="Times New Roman" w:cs="Times New Roman"/>
          <w:kern w:val="0"/>
          <w:sz w:val="28"/>
          <w:szCs w:val="28"/>
        </w:rPr>
        <w:t>3 sources.</w:t>
      </w:r>
    </w:p>
    <w:p w14:paraId="524049CA" w14:textId="77777777" w:rsidR="008E5601" w:rsidRPr="006E27CF" w:rsidRDefault="008E5601" w:rsidP="008E5601">
      <w:pPr>
        <w:pStyle w:val="ListParagraph"/>
        <w:ind w:left="0"/>
        <w:jc w:val="both"/>
        <w:rPr>
          <w:rStyle w:val="y2iqfc"/>
          <w:rFonts w:ascii="Times New Roman" w:hAnsi="Times New Roman" w:cs="Times New Roman"/>
          <w:sz w:val="28"/>
          <w:szCs w:val="28"/>
        </w:rPr>
      </w:pPr>
    </w:p>
    <w:p w14:paraId="27EF549F" w14:textId="77777777" w:rsidR="00EB78EF" w:rsidRDefault="00EB78EF" w:rsidP="008E5601">
      <w:pPr>
        <w:pStyle w:val="ListParagraph"/>
        <w:ind w:left="0"/>
        <w:jc w:val="both"/>
        <w:rPr>
          <w:rStyle w:val="y2iqfc"/>
          <w:rFonts w:ascii="Times New Roman" w:hAnsi="Times New Roman" w:cs="Times New Roman"/>
          <w:b/>
          <w:bCs/>
          <w:sz w:val="28"/>
          <w:szCs w:val="28"/>
        </w:rPr>
      </w:pPr>
    </w:p>
    <w:p w14:paraId="211BC22B" w14:textId="77777777" w:rsidR="00EB78EF" w:rsidRDefault="00EB78EF" w:rsidP="008E5601">
      <w:pPr>
        <w:pStyle w:val="ListParagraph"/>
        <w:ind w:left="0"/>
        <w:jc w:val="both"/>
        <w:rPr>
          <w:rStyle w:val="y2iqfc"/>
          <w:rFonts w:ascii="Times New Roman" w:hAnsi="Times New Roman" w:cs="Times New Roman"/>
          <w:b/>
          <w:bCs/>
          <w:sz w:val="28"/>
          <w:szCs w:val="28"/>
        </w:rPr>
      </w:pPr>
    </w:p>
    <w:p w14:paraId="042D9C52" w14:textId="77777777" w:rsidR="00EB78EF" w:rsidRDefault="00EB78EF" w:rsidP="008E5601">
      <w:pPr>
        <w:pStyle w:val="ListParagraph"/>
        <w:ind w:left="0"/>
        <w:jc w:val="both"/>
        <w:rPr>
          <w:rStyle w:val="y2iqfc"/>
          <w:rFonts w:ascii="Times New Roman" w:hAnsi="Times New Roman" w:cs="Times New Roman"/>
          <w:b/>
          <w:bCs/>
          <w:sz w:val="28"/>
          <w:szCs w:val="28"/>
        </w:rPr>
      </w:pPr>
    </w:p>
    <w:p w14:paraId="028052B0" w14:textId="77777777" w:rsidR="00EB78EF" w:rsidRDefault="00EB78EF" w:rsidP="008E5601">
      <w:pPr>
        <w:pStyle w:val="ListParagraph"/>
        <w:ind w:left="0"/>
        <w:jc w:val="both"/>
        <w:rPr>
          <w:rStyle w:val="y2iqfc"/>
          <w:rFonts w:ascii="Times New Roman" w:hAnsi="Times New Roman" w:cs="Times New Roman"/>
          <w:b/>
          <w:bCs/>
          <w:sz w:val="28"/>
          <w:szCs w:val="28"/>
        </w:rPr>
      </w:pPr>
    </w:p>
    <w:p w14:paraId="2545CA60" w14:textId="77777777" w:rsidR="00EB78EF" w:rsidRDefault="00EB78EF" w:rsidP="008E5601">
      <w:pPr>
        <w:pStyle w:val="ListParagraph"/>
        <w:ind w:left="0"/>
        <w:jc w:val="both"/>
        <w:rPr>
          <w:rStyle w:val="y2iqfc"/>
          <w:rFonts w:ascii="Times New Roman" w:hAnsi="Times New Roman" w:cs="Times New Roman"/>
          <w:b/>
          <w:bCs/>
          <w:sz w:val="28"/>
          <w:szCs w:val="28"/>
        </w:rPr>
      </w:pPr>
    </w:p>
    <w:p w14:paraId="7C44E248" w14:textId="77777777" w:rsidR="00EB78EF" w:rsidRDefault="00EB78EF" w:rsidP="008E5601">
      <w:pPr>
        <w:pStyle w:val="ListParagraph"/>
        <w:ind w:left="0"/>
        <w:jc w:val="both"/>
        <w:rPr>
          <w:rStyle w:val="y2iqfc"/>
          <w:rFonts w:ascii="Times New Roman" w:hAnsi="Times New Roman" w:cs="Times New Roman"/>
          <w:b/>
          <w:bCs/>
          <w:sz w:val="28"/>
          <w:szCs w:val="28"/>
        </w:rPr>
      </w:pPr>
    </w:p>
    <w:p w14:paraId="05C45979" w14:textId="77777777" w:rsidR="00EB78EF" w:rsidRDefault="00EB78EF" w:rsidP="008E5601">
      <w:pPr>
        <w:pStyle w:val="ListParagraph"/>
        <w:ind w:left="0"/>
        <w:jc w:val="both"/>
        <w:rPr>
          <w:rStyle w:val="y2iqfc"/>
          <w:rFonts w:ascii="Times New Roman" w:hAnsi="Times New Roman" w:cs="Times New Roman"/>
          <w:b/>
          <w:bCs/>
          <w:sz w:val="28"/>
          <w:szCs w:val="28"/>
        </w:rPr>
      </w:pPr>
    </w:p>
    <w:p w14:paraId="6CC7F641" w14:textId="77777777" w:rsidR="00EB78EF" w:rsidRDefault="00EB78EF" w:rsidP="008E5601">
      <w:pPr>
        <w:pStyle w:val="ListParagraph"/>
        <w:ind w:left="0"/>
        <w:jc w:val="both"/>
        <w:rPr>
          <w:rStyle w:val="y2iqfc"/>
          <w:rFonts w:ascii="Times New Roman" w:hAnsi="Times New Roman" w:cs="Times New Roman"/>
          <w:b/>
          <w:bCs/>
          <w:sz w:val="28"/>
          <w:szCs w:val="28"/>
        </w:rPr>
      </w:pPr>
    </w:p>
    <w:p w14:paraId="61862770" w14:textId="77777777" w:rsidR="00EB78EF" w:rsidRDefault="00EB78EF" w:rsidP="008E5601">
      <w:pPr>
        <w:pStyle w:val="ListParagraph"/>
        <w:ind w:left="0"/>
        <w:jc w:val="both"/>
        <w:rPr>
          <w:rStyle w:val="y2iqfc"/>
          <w:rFonts w:ascii="Times New Roman" w:hAnsi="Times New Roman" w:cs="Times New Roman"/>
          <w:b/>
          <w:bCs/>
          <w:sz w:val="28"/>
          <w:szCs w:val="28"/>
        </w:rPr>
      </w:pPr>
    </w:p>
    <w:p w14:paraId="110DA5D9" w14:textId="77777777" w:rsidR="00EB78EF" w:rsidRDefault="00EB78EF" w:rsidP="008E5601">
      <w:pPr>
        <w:pStyle w:val="ListParagraph"/>
        <w:ind w:left="0"/>
        <w:jc w:val="both"/>
        <w:rPr>
          <w:rStyle w:val="y2iqfc"/>
          <w:rFonts w:ascii="Times New Roman" w:hAnsi="Times New Roman" w:cs="Times New Roman"/>
          <w:b/>
          <w:bCs/>
          <w:sz w:val="28"/>
          <w:szCs w:val="28"/>
        </w:rPr>
      </w:pPr>
    </w:p>
    <w:p w14:paraId="42ED46E8" w14:textId="77777777" w:rsidR="00EB78EF" w:rsidRDefault="00EB78EF" w:rsidP="008E5601">
      <w:pPr>
        <w:pStyle w:val="ListParagraph"/>
        <w:ind w:left="0"/>
        <w:jc w:val="both"/>
        <w:rPr>
          <w:rStyle w:val="y2iqfc"/>
          <w:rFonts w:ascii="Times New Roman" w:hAnsi="Times New Roman" w:cs="Times New Roman"/>
          <w:b/>
          <w:bCs/>
          <w:sz w:val="28"/>
          <w:szCs w:val="28"/>
        </w:rPr>
      </w:pPr>
    </w:p>
    <w:p w14:paraId="7D986C47" w14:textId="77777777" w:rsidR="00EB78EF" w:rsidRDefault="00EB78EF" w:rsidP="008E5601">
      <w:pPr>
        <w:pStyle w:val="ListParagraph"/>
        <w:ind w:left="0"/>
        <w:jc w:val="both"/>
        <w:rPr>
          <w:rStyle w:val="y2iqfc"/>
          <w:rFonts w:ascii="Times New Roman" w:hAnsi="Times New Roman" w:cs="Times New Roman"/>
          <w:b/>
          <w:bCs/>
          <w:sz w:val="28"/>
          <w:szCs w:val="28"/>
        </w:rPr>
      </w:pPr>
    </w:p>
    <w:p w14:paraId="2DA3488A" w14:textId="77777777" w:rsidR="00EB78EF" w:rsidRDefault="00EB78EF" w:rsidP="008E5601">
      <w:pPr>
        <w:pStyle w:val="ListParagraph"/>
        <w:ind w:left="0"/>
        <w:jc w:val="both"/>
        <w:rPr>
          <w:rStyle w:val="y2iqfc"/>
          <w:rFonts w:ascii="Times New Roman" w:hAnsi="Times New Roman" w:cs="Times New Roman"/>
          <w:b/>
          <w:bCs/>
          <w:sz w:val="28"/>
          <w:szCs w:val="28"/>
        </w:rPr>
      </w:pPr>
    </w:p>
    <w:p w14:paraId="08A921F0" w14:textId="77777777" w:rsidR="00EB78EF" w:rsidRDefault="00EB78EF" w:rsidP="008E5601">
      <w:pPr>
        <w:pStyle w:val="ListParagraph"/>
        <w:ind w:left="0"/>
        <w:jc w:val="both"/>
        <w:rPr>
          <w:rStyle w:val="y2iqfc"/>
          <w:rFonts w:ascii="Times New Roman" w:hAnsi="Times New Roman" w:cs="Times New Roman"/>
          <w:b/>
          <w:bCs/>
          <w:sz w:val="28"/>
          <w:szCs w:val="28"/>
        </w:rPr>
      </w:pPr>
    </w:p>
    <w:p w14:paraId="7C100F42" w14:textId="77777777" w:rsidR="00EB78EF" w:rsidRDefault="00EB78EF" w:rsidP="008E5601">
      <w:pPr>
        <w:pStyle w:val="ListParagraph"/>
        <w:ind w:left="0"/>
        <w:jc w:val="both"/>
        <w:rPr>
          <w:rStyle w:val="y2iqfc"/>
          <w:rFonts w:ascii="Times New Roman" w:hAnsi="Times New Roman" w:cs="Times New Roman"/>
          <w:b/>
          <w:bCs/>
          <w:sz w:val="28"/>
          <w:szCs w:val="28"/>
        </w:rPr>
      </w:pPr>
    </w:p>
    <w:p w14:paraId="6226A9DF" w14:textId="77777777" w:rsidR="003018AA" w:rsidRDefault="003018AA" w:rsidP="008E5601">
      <w:pPr>
        <w:pStyle w:val="ListParagraph"/>
        <w:ind w:left="0"/>
        <w:jc w:val="both"/>
        <w:rPr>
          <w:rStyle w:val="y2iqfc"/>
          <w:rFonts w:ascii="Times New Roman" w:hAnsi="Times New Roman" w:cs="Times New Roman"/>
          <w:b/>
          <w:bCs/>
          <w:sz w:val="28"/>
          <w:szCs w:val="28"/>
        </w:rPr>
      </w:pPr>
    </w:p>
    <w:p w14:paraId="0C0B782C" w14:textId="77777777" w:rsidR="003018AA" w:rsidRDefault="003018AA" w:rsidP="008E5601">
      <w:pPr>
        <w:pStyle w:val="ListParagraph"/>
        <w:ind w:left="0"/>
        <w:jc w:val="both"/>
        <w:rPr>
          <w:rStyle w:val="y2iqfc"/>
          <w:rFonts w:ascii="Times New Roman" w:hAnsi="Times New Roman" w:cs="Times New Roman"/>
          <w:b/>
          <w:bCs/>
          <w:sz w:val="28"/>
          <w:szCs w:val="28"/>
        </w:rPr>
      </w:pPr>
    </w:p>
    <w:p w14:paraId="42776A71" w14:textId="77777777" w:rsidR="003018AA" w:rsidRDefault="003018AA" w:rsidP="008E5601">
      <w:pPr>
        <w:pStyle w:val="ListParagraph"/>
        <w:ind w:left="0"/>
        <w:jc w:val="both"/>
        <w:rPr>
          <w:rStyle w:val="y2iqfc"/>
          <w:rFonts w:ascii="Times New Roman" w:hAnsi="Times New Roman" w:cs="Times New Roman"/>
          <w:b/>
          <w:bCs/>
          <w:sz w:val="28"/>
          <w:szCs w:val="28"/>
        </w:rPr>
      </w:pPr>
    </w:p>
    <w:p w14:paraId="5100DF99" w14:textId="77777777" w:rsidR="003018AA" w:rsidRDefault="003018AA" w:rsidP="008E5601">
      <w:pPr>
        <w:pStyle w:val="ListParagraph"/>
        <w:ind w:left="0"/>
        <w:jc w:val="both"/>
        <w:rPr>
          <w:rStyle w:val="y2iqfc"/>
          <w:rFonts w:ascii="Times New Roman" w:hAnsi="Times New Roman" w:cs="Times New Roman"/>
          <w:b/>
          <w:bCs/>
          <w:sz w:val="28"/>
          <w:szCs w:val="28"/>
        </w:rPr>
      </w:pPr>
    </w:p>
    <w:p w14:paraId="69D5366A" w14:textId="77777777" w:rsidR="003018AA" w:rsidRDefault="003018AA" w:rsidP="008E5601">
      <w:pPr>
        <w:pStyle w:val="ListParagraph"/>
        <w:ind w:left="0"/>
        <w:jc w:val="both"/>
        <w:rPr>
          <w:rStyle w:val="y2iqfc"/>
          <w:rFonts w:ascii="Times New Roman" w:hAnsi="Times New Roman" w:cs="Times New Roman"/>
          <w:b/>
          <w:bCs/>
          <w:sz w:val="28"/>
          <w:szCs w:val="28"/>
        </w:rPr>
      </w:pPr>
    </w:p>
    <w:p w14:paraId="09AB5577" w14:textId="77777777" w:rsidR="003018AA" w:rsidRDefault="003018AA" w:rsidP="008E5601">
      <w:pPr>
        <w:pStyle w:val="ListParagraph"/>
        <w:ind w:left="0"/>
        <w:jc w:val="both"/>
        <w:rPr>
          <w:rStyle w:val="y2iqfc"/>
          <w:rFonts w:ascii="Times New Roman" w:hAnsi="Times New Roman" w:cs="Times New Roman"/>
          <w:b/>
          <w:bCs/>
          <w:sz w:val="28"/>
          <w:szCs w:val="28"/>
        </w:rPr>
      </w:pPr>
    </w:p>
    <w:p w14:paraId="7E0692CD" w14:textId="77777777" w:rsidR="003018AA" w:rsidRDefault="003018AA" w:rsidP="008E5601">
      <w:pPr>
        <w:pStyle w:val="ListParagraph"/>
        <w:ind w:left="0"/>
        <w:jc w:val="both"/>
        <w:rPr>
          <w:rStyle w:val="y2iqfc"/>
          <w:rFonts w:ascii="Times New Roman" w:hAnsi="Times New Roman" w:cs="Times New Roman"/>
          <w:b/>
          <w:bCs/>
          <w:sz w:val="28"/>
          <w:szCs w:val="28"/>
        </w:rPr>
      </w:pPr>
    </w:p>
    <w:p w14:paraId="322E79E4" w14:textId="77777777" w:rsidR="003018AA" w:rsidRDefault="003018AA" w:rsidP="008E5601">
      <w:pPr>
        <w:pStyle w:val="ListParagraph"/>
        <w:ind w:left="0"/>
        <w:jc w:val="both"/>
        <w:rPr>
          <w:rStyle w:val="y2iqfc"/>
          <w:rFonts w:ascii="Times New Roman" w:hAnsi="Times New Roman" w:cs="Times New Roman"/>
          <w:b/>
          <w:bCs/>
          <w:sz w:val="28"/>
          <w:szCs w:val="28"/>
        </w:rPr>
      </w:pPr>
    </w:p>
    <w:p w14:paraId="6E4C78D7" w14:textId="77777777" w:rsidR="003018AA" w:rsidRDefault="003018AA" w:rsidP="008E5601">
      <w:pPr>
        <w:pStyle w:val="ListParagraph"/>
        <w:ind w:left="0"/>
        <w:jc w:val="both"/>
        <w:rPr>
          <w:rStyle w:val="y2iqfc"/>
          <w:rFonts w:ascii="Times New Roman" w:hAnsi="Times New Roman" w:cs="Times New Roman"/>
          <w:b/>
          <w:bCs/>
          <w:sz w:val="28"/>
          <w:szCs w:val="28"/>
        </w:rPr>
      </w:pPr>
    </w:p>
    <w:p w14:paraId="44F17578" w14:textId="77777777" w:rsidR="003018AA" w:rsidRDefault="003018AA" w:rsidP="008E5601">
      <w:pPr>
        <w:pStyle w:val="ListParagraph"/>
        <w:ind w:left="0"/>
        <w:jc w:val="both"/>
        <w:rPr>
          <w:rStyle w:val="y2iqfc"/>
          <w:rFonts w:ascii="Times New Roman" w:hAnsi="Times New Roman" w:cs="Times New Roman"/>
          <w:b/>
          <w:bCs/>
          <w:sz w:val="28"/>
          <w:szCs w:val="28"/>
        </w:rPr>
      </w:pPr>
    </w:p>
    <w:p w14:paraId="39CD8785" w14:textId="77777777" w:rsidR="003018AA" w:rsidRDefault="003018AA" w:rsidP="008E5601">
      <w:pPr>
        <w:pStyle w:val="ListParagraph"/>
        <w:ind w:left="0"/>
        <w:jc w:val="both"/>
        <w:rPr>
          <w:rStyle w:val="y2iqfc"/>
          <w:rFonts w:ascii="Times New Roman" w:hAnsi="Times New Roman" w:cs="Times New Roman"/>
          <w:b/>
          <w:bCs/>
          <w:sz w:val="28"/>
          <w:szCs w:val="28"/>
        </w:rPr>
      </w:pPr>
    </w:p>
    <w:p w14:paraId="2D5EE410" w14:textId="77777777" w:rsidR="003018AA" w:rsidRDefault="003018AA" w:rsidP="008E5601">
      <w:pPr>
        <w:pStyle w:val="ListParagraph"/>
        <w:ind w:left="0"/>
        <w:jc w:val="both"/>
        <w:rPr>
          <w:rStyle w:val="y2iqfc"/>
          <w:rFonts w:ascii="Times New Roman" w:hAnsi="Times New Roman" w:cs="Times New Roman"/>
          <w:b/>
          <w:bCs/>
          <w:sz w:val="28"/>
          <w:szCs w:val="28"/>
        </w:rPr>
      </w:pPr>
    </w:p>
    <w:p w14:paraId="08038AD8" w14:textId="19E1E0C2" w:rsidR="00CB3470" w:rsidRPr="006E27CF" w:rsidRDefault="003018AA" w:rsidP="00A01F7D">
      <w:pPr>
        <w:ind w:firstLine="709"/>
        <w:jc w:val="both"/>
        <w:rPr>
          <w:rFonts w:ascii="Times New Roman" w:hAnsi="Times New Roman" w:cs="Times New Roman"/>
          <w:b/>
          <w:bCs/>
          <w:sz w:val="28"/>
          <w:szCs w:val="28"/>
          <w:lang w:val="ru-RU"/>
        </w:rPr>
      </w:pPr>
      <w:r w:rsidRPr="003018AA">
        <w:rPr>
          <w:rStyle w:val="y2iqfc"/>
          <w:rFonts w:ascii="Times New Roman" w:hAnsi="Times New Roman" w:cs="Times New Roman"/>
          <w:b/>
          <w:bCs/>
          <w:sz w:val="28"/>
          <w:szCs w:val="28"/>
        </w:rPr>
        <w:lastRenderedPageBreak/>
        <w:t>REFERENCES:</w:t>
      </w:r>
    </w:p>
    <w:p w14:paraId="244EECE9"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2A612A">
        <w:rPr>
          <w:rFonts w:ascii="Times New Roman" w:hAnsi="Times New Roman" w:cs="Times New Roman"/>
          <w:sz w:val="28"/>
          <w:szCs w:val="28"/>
          <w:lang w:val="en-US"/>
        </w:rPr>
        <w:t>Humbert M. et al. 2022 ESC/ERS Guidelines for the diagnosis and treatment of pulmonary hypertension // European Heart Journal. - 2022. - Vol. 43(38). - P. 3618-3731.</w:t>
      </w:r>
    </w:p>
    <w:p w14:paraId="02E378D8"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9D74B1">
        <w:rPr>
          <w:rFonts w:ascii="Times New Roman" w:hAnsi="Times New Roman" w:cs="Times New Roman"/>
          <w:sz w:val="28"/>
          <w:szCs w:val="28"/>
          <w:lang w:val="en-US"/>
        </w:rPr>
        <w:t>Abman S.H. et al. Pediatric pulmonary hypertension: guidelines from the American Heart Association and American Thoracic Society // Circulation. - 2015. - Vol. 132. - P. 2037-2099.</w:t>
      </w:r>
    </w:p>
    <w:p w14:paraId="6B9FB3E8"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9D74B1">
        <w:rPr>
          <w:rFonts w:ascii="Times New Roman" w:hAnsi="Times New Roman" w:cs="Times New Roman"/>
          <w:sz w:val="28"/>
          <w:szCs w:val="28"/>
          <w:lang w:val="en-US"/>
        </w:rPr>
        <w:t>Hansmann G. et al. 2019 Updated consensus statement on the diagnosis and treatment of pediatric pulmonary hypertension: the European Pediatric Pulmonary Vascular Disease Network (EPPVDN) // J Heart Lung Transplant. - 2019. - Vol. 38. - P. 879-901.</w:t>
      </w:r>
    </w:p>
    <w:p w14:paraId="68C5C963"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9D74B1">
        <w:rPr>
          <w:rFonts w:ascii="Times New Roman" w:hAnsi="Times New Roman" w:cs="Times New Roman"/>
          <w:sz w:val="28"/>
          <w:szCs w:val="28"/>
          <w:lang w:val="en-US"/>
        </w:rPr>
        <w:t>Xu Z.Y. et al. Risk factors for death and the clinical features of different subtypes of patients with pulmonary arterial hypertension related to congenital heart disease // Zhonghua Xin Xue Guan Bing Za Zhi. - 2020. - Vol. 48. - P. 315-322.</w:t>
      </w:r>
    </w:p>
    <w:p w14:paraId="06CBC059"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9D74B1">
        <w:rPr>
          <w:rFonts w:ascii="Times New Roman" w:hAnsi="Times New Roman" w:cs="Times New Roman"/>
          <w:sz w:val="28"/>
          <w:szCs w:val="28"/>
          <w:lang w:val="en-US"/>
        </w:rPr>
        <w:t>Gorbachevsky S., Shmalts A.A. Diagnosis of pulmonary hypertension associated with congenital heart disease. Part 1: Definition, classification and initial examination of patients // Russian Bulletin of Perinatology and Pediatrics. - 2021. - Vol. 66(5). - PP.28-37.</w:t>
      </w:r>
    </w:p>
    <w:p w14:paraId="519EC097"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B8694A">
        <w:rPr>
          <w:rFonts w:ascii="Times New Roman" w:hAnsi="Times New Roman" w:cs="Times New Roman"/>
          <w:sz w:val="28"/>
          <w:szCs w:val="28"/>
          <w:lang w:val="en-US"/>
        </w:rPr>
        <w:t>MacLean M. et al. Serotonin and Pulmonary Hypertension; Sex and Drugs and ROCK and Rho // Comprehensive Physiology. - 2022. - Vol. 12, №4. - P. 1-16.</w:t>
      </w:r>
    </w:p>
    <w:p w14:paraId="524F4BC7"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B8694A">
        <w:rPr>
          <w:rFonts w:ascii="Times New Roman" w:hAnsi="Times New Roman" w:cs="Times New Roman"/>
          <w:sz w:val="28"/>
          <w:szCs w:val="28"/>
          <w:lang w:val="en-US"/>
        </w:rPr>
        <w:t>Huang Y.Z. et al. Pulmonary Hypertension Induces Serotonin Hyperreactivity and Metabolic Reprogramming in Coronary Arteries via NOX1/4-TRPM2 Signaling Pathway // Hypertension. - 2024. - Vol. 81(3). - P. 582-594.</w:t>
      </w:r>
    </w:p>
    <w:p w14:paraId="471AF2D9"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B8694A">
        <w:rPr>
          <w:rFonts w:ascii="Times New Roman" w:hAnsi="Times New Roman" w:cs="Times New Roman"/>
          <w:sz w:val="28"/>
          <w:szCs w:val="28"/>
          <w:lang w:val="en-US"/>
        </w:rPr>
        <w:t>Nies M. et al. Proteomics discovery of pulmonary hypertension biomarkers: Insulin‐like growth factor binding proteins are associated with disease severity // Pulmonary Circulation. - 2022. - Vol. 12.</w:t>
      </w:r>
    </w:p>
    <w:p w14:paraId="6FE35BB3" w14:textId="77777777" w:rsidR="00E07B26" w:rsidRDefault="00E07B26" w:rsidP="00E07B26">
      <w:pPr>
        <w:pStyle w:val="ListParagraph"/>
        <w:numPr>
          <w:ilvl w:val="0"/>
          <w:numId w:val="17"/>
        </w:numPr>
        <w:spacing w:line="276" w:lineRule="auto"/>
        <w:jc w:val="both"/>
        <w:rPr>
          <w:rFonts w:ascii="Times New Roman" w:hAnsi="Times New Roman" w:cs="Times New Roman"/>
          <w:sz w:val="28"/>
          <w:szCs w:val="28"/>
          <w:lang w:val="en-US"/>
        </w:rPr>
      </w:pPr>
      <w:r w:rsidRPr="00E7373F">
        <w:rPr>
          <w:rFonts w:ascii="Times New Roman" w:hAnsi="Times New Roman" w:cs="Times New Roman"/>
          <w:sz w:val="28"/>
          <w:szCs w:val="28"/>
          <w:lang w:val="en-US"/>
        </w:rPr>
        <w:t>Ivy D. et al. Embracing the challenges of neonatal and paediatric pulmonary hypertension // European Respiratory Journal. - 2024. - Vol. 64(4). - P. 2401345.</w:t>
      </w:r>
    </w:p>
    <w:p w14:paraId="35043B4C" w14:textId="77777777" w:rsidR="00BA0FE7" w:rsidRPr="00E07B26" w:rsidRDefault="00BA0FE7">
      <w:pPr>
        <w:rPr>
          <w:lang w:val="en-US"/>
        </w:rPr>
      </w:pPr>
    </w:p>
    <w:sectPr w:rsidR="00BA0FE7" w:rsidRPr="00E07B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353DA"/>
    <w:multiLevelType w:val="multilevel"/>
    <w:tmpl w:val="3080F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42C9A"/>
    <w:multiLevelType w:val="hybridMultilevel"/>
    <w:tmpl w:val="B406F6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E0428DC"/>
    <w:multiLevelType w:val="multilevel"/>
    <w:tmpl w:val="6BFA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00D86"/>
    <w:multiLevelType w:val="hybridMultilevel"/>
    <w:tmpl w:val="E4566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E02071"/>
    <w:multiLevelType w:val="multilevel"/>
    <w:tmpl w:val="B126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80732"/>
    <w:multiLevelType w:val="multilevel"/>
    <w:tmpl w:val="8D00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F2BDF"/>
    <w:multiLevelType w:val="hybridMultilevel"/>
    <w:tmpl w:val="8D9888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BB517C"/>
    <w:multiLevelType w:val="hybridMultilevel"/>
    <w:tmpl w:val="4AC0258E"/>
    <w:lvl w:ilvl="0" w:tplc="0DD87F78">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42CE1565"/>
    <w:multiLevelType w:val="hybridMultilevel"/>
    <w:tmpl w:val="DCE49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F21144"/>
    <w:multiLevelType w:val="hybridMultilevel"/>
    <w:tmpl w:val="E152C1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E5F4B51"/>
    <w:multiLevelType w:val="hybridMultilevel"/>
    <w:tmpl w:val="3CB2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81614"/>
    <w:multiLevelType w:val="hybridMultilevel"/>
    <w:tmpl w:val="701C420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BBC7390"/>
    <w:multiLevelType w:val="hybridMultilevel"/>
    <w:tmpl w:val="70F02D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65832D36"/>
    <w:multiLevelType w:val="hybridMultilevel"/>
    <w:tmpl w:val="5B8691D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74513E2"/>
    <w:multiLevelType w:val="hybridMultilevel"/>
    <w:tmpl w:val="DB888056"/>
    <w:lvl w:ilvl="0" w:tplc="0DD87F78">
      <w:start w:val="1"/>
      <w:numFmt w:val="bullet"/>
      <w:lvlText w:val=""/>
      <w:lvlJc w:val="left"/>
      <w:pPr>
        <w:ind w:left="720"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5" w15:restartNumberingAfterBreak="0">
    <w:nsid w:val="699130E7"/>
    <w:multiLevelType w:val="hybridMultilevel"/>
    <w:tmpl w:val="92F41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011211"/>
    <w:multiLevelType w:val="hybridMultilevel"/>
    <w:tmpl w:val="9648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6487B"/>
    <w:multiLevelType w:val="hybridMultilevel"/>
    <w:tmpl w:val="BFF82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B60678"/>
    <w:multiLevelType w:val="hybridMultilevel"/>
    <w:tmpl w:val="A31E5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2A4A4A"/>
    <w:multiLevelType w:val="hybridMultilevel"/>
    <w:tmpl w:val="9176E41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788569DD"/>
    <w:multiLevelType w:val="hybridMultilevel"/>
    <w:tmpl w:val="1AF6AB7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7EAA2246"/>
    <w:multiLevelType w:val="hybridMultilevel"/>
    <w:tmpl w:val="2BD624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2010806">
    <w:abstractNumId w:val="12"/>
  </w:num>
  <w:num w:numId="2" w16cid:durableId="983583693">
    <w:abstractNumId w:val="2"/>
  </w:num>
  <w:num w:numId="3" w16cid:durableId="1083723330">
    <w:abstractNumId w:val="5"/>
  </w:num>
  <w:num w:numId="4" w16cid:durableId="125006684">
    <w:abstractNumId w:val="10"/>
  </w:num>
  <w:num w:numId="5" w16cid:durableId="1967393931">
    <w:abstractNumId w:val="11"/>
  </w:num>
  <w:num w:numId="6" w16cid:durableId="1340425830">
    <w:abstractNumId w:val="19"/>
  </w:num>
  <w:num w:numId="7" w16cid:durableId="1127970042">
    <w:abstractNumId w:val="13"/>
  </w:num>
  <w:num w:numId="8" w16cid:durableId="469328441">
    <w:abstractNumId w:val="15"/>
  </w:num>
  <w:num w:numId="9" w16cid:durableId="1369910851">
    <w:abstractNumId w:val="20"/>
  </w:num>
  <w:num w:numId="10" w16cid:durableId="1025903683">
    <w:abstractNumId w:val="7"/>
  </w:num>
  <w:num w:numId="11" w16cid:durableId="404109861">
    <w:abstractNumId w:val="14"/>
  </w:num>
  <w:num w:numId="12" w16cid:durableId="1191840451">
    <w:abstractNumId w:val="0"/>
    <w:lvlOverride w:ilvl="0">
      <w:startOverride w:val="1"/>
    </w:lvlOverride>
  </w:num>
  <w:num w:numId="13" w16cid:durableId="1974863713">
    <w:abstractNumId w:val="4"/>
    <w:lvlOverride w:ilvl="0">
      <w:lvl w:ilvl="0">
        <w:numFmt w:val="decimal"/>
        <w:lvlText w:val="%1."/>
        <w:lvlJc w:val="left"/>
      </w:lvl>
    </w:lvlOverride>
  </w:num>
  <w:num w:numId="14" w16cid:durableId="244263436">
    <w:abstractNumId w:val="6"/>
  </w:num>
  <w:num w:numId="15" w16cid:durableId="649747036">
    <w:abstractNumId w:val="8"/>
  </w:num>
  <w:num w:numId="16" w16cid:durableId="2134516924">
    <w:abstractNumId w:val="21"/>
  </w:num>
  <w:num w:numId="17" w16cid:durableId="362481546">
    <w:abstractNumId w:val="16"/>
  </w:num>
  <w:num w:numId="18" w16cid:durableId="401953130">
    <w:abstractNumId w:val="1"/>
  </w:num>
  <w:num w:numId="19" w16cid:durableId="16935702">
    <w:abstractNumId w:val="9"/>
  </w:num>
  <w:num w:numId="20" w16cid:durableId="299699220">
    <w:abstractNumId w:val="3"/>
  </w:num>
  <w:num w:numId="21" w16cid:durableId="1177888346">
    <w:abstractNumId w:val="18"/>
  </w:num>
  <w:num w:numId="22" w16cid:durableId="2013023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E7"/>
    <w:rsid w:val="00022C46"/>
    <w:rsid w:val="000325ED"/>
    <w:rsid w:val="000805D4"/>
    <w:rsid w:val="000D2C76"/>
    <w:rsid w:val="002010E5"/>
    <w:rsid w:val="00202467"/>
    <w:rsid w:val="00211818"/>
    <w:rsid w:val="00247D97"/>
    <w:rsid w:val="00274D25"/>
    <w:rsid w:val="00282FE8"/>
    <w:rsid w:val="002E4569"/>
    <w:rsid w:val="003018AA"/>
    <w:rsid w:val="00332B0B"/>
    <w:rsid w:val="003414E2"/>
    <w:rsid w:val="0034296A"/>
    <w:rsid w:val="0037447D"/>
    <w:rsid w:val="003B414E"/>
    <w:rsid w:val="003D09B1"/>
    <w:rsid w:val="003E01CE"/>
    <w:rsid w:val="00445AB3"/>
    <w:rsid w:val="00454C25"/>
    <w:rsid w:val="004570E7"/>
    <w:rsid w:val="004F017F"/>
    <w:rsid w:val="0051072D"/>
    <w:rsid w:val="005B0EF1"/>
    <w:rsid w:val="00602EC3"/>
    <w:rsid w:val="006151C9"/>
    <w:rsid w:val="0066005C"/>
    <w:rsid w:val="006C16DB"/>
    <w:rsid w:val="006E26E5"/>
    <w:rsid w:val="006E27CF"/>
    <w:rsid w:val="006E6208"/>
    <w:rsid w:val="00705F3A"/>
    <w:rsid w:val="00706F11"/>
    <w:rsid w:val="00734644"/>
    <w:rsid w:val="007526A5"/>
    <w:rsid w:val="00855E98"/>
    <w:rsid w:val="0085760F"/>
    <w:rsid w:val="00857979"/>
    <w:rsid w:val="008B165A"/>
    <w:rsid w:val="008C4EC4"/>
    <w:rsid w:val="008E5601"/>
    <w:rsid w:val="008F501F"/>
    <w:rsid w:val="0090298E"/>
    <w:rsid w:val="00936727"/>
    <w:rsid w:val="00972D6E"/>
    <w:rsid w:val="009F36DB"/>
    <w:rsid w:val="00A01F7D"/>
    <w:rsid w:val="00A17735"/>
    <w:rsid w:val="00A87EAF"/>
    <w:rsid w:val="00AC4D7A"/>
    <w:rsid w:val="00B32BA8"/>
    <w:rsid w:val="00B63E0F"/>
    <w:rsid w:val="00B676EF"/>
    <w:rsid w:val="00BA0FE7"/>
    <w:rsid w:val="00CB3470"/>
    <w:rsid w:val="00CB3C94"/>
    <w:rsid w:val="00CC3B49"/>
    <w:rsid w:val="00D56562"/>
    <w:rsid w:val="00DE71B8"/>
    <w:rsid w:val="00E07B26"/>
    <w:rsid w:val="00EB78EF"/>
    <w:rsid w:val="00F44DA7"/>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87A8"/>
  <w15:chartTrackingRefBased/>
  <w15:docId w15:val="{2411CA3C-45A1-5D4D-B4FE-935A4D62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0E7"/>
  </w:style>
  <w:style w:type="paragraph" w:styleId="Heading1">
    <w:name w:val="heading 1"/>
    <w:basedOn w:val="Normal"/>
    <w:next w:val="Normal"/>
    <w:link w:val="Heading1Char"/>
    <w:uiPriority w:val="9"/>
    <w:qFormat/>
    <w:rsid w:val="00457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0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0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0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0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0E7"/>
    <w:rPr>
      <w:rFonts w:eastAsiaTheme="majorEastAsia" w:cstheme="majorBidi"/>
      <w:color w:val="272727" w:themeColor="text1" w:themeTint="D8"/>
    </w:rPr>
  </w:style>
  <w:style w:type="paragraph" w:styleId="Title">
    <w:name w:val="Title"/>
    <w:basedOn w:val="Normal"/>
    <w:next w:val="Normal"/>
    <w:link w:val="TitleChar"/>
    <w:uiPriority w:val="10"/>
    <w:qFormat/>
    <w:rsid w:val="004570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0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0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70E7"/>
    <w:rPr>
      <w:i/>
      <w:iCs/>
      <w:color w:val="404040" w:themeColor="text1" w:themeTint="BF"/>
    </w:rPr>
  </w:style>
  <w:style w:type="paragraph" w:styleId="ListParagraph">
    <w:name w:val="List Paragraph"/>
    <w:basedOn w:val="Normal"/>
    <w:uiPriority w:val="34"/>
    <w:qFormat/>
    <w:rsid w:val="004570E7"/>
    <w:pPr>
      <w:ind w:left="720"/>
      <w:contextualSpacing/>
    </w:pPr>
  </w:style>
  <w:style w:type="character" w:styleId="IntenseEmphasis">
    <w:name w:val="Intense Emphasis"/>
    <w:basedOn w:val="DefaultParagraphFont"/>
    <w:uiPriority w:val="21"/>
    <w:qFormat/>
    <w:rsid w:val="004570E7"/>
    <w:rPr>
      <w:i/>
      <w:iCs/>
      <w:color w:val="0F4761" w:themeColor="accent1" w:themeShade="BF"/>
    </w:rPr>
  </w:style>
  <w:style w:type="paragraph" w:styleId="IntenseQuote">
    <w:name w:val="Intense Quote"/>
    <w:basedOn w:val="Normal"/>
    <w:next w:val="Normal"/>
    <w:link w:val="IntenseQuoteChar"/>
    <w:uiPriority w:val="30"/>
    <w:qFormat/>
    <w:rsid w:val="00457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0E7"/>
    <w:rPr>
      <w:i/>
      <w:iCs/>
      <w:color w:val="0F4761" w:themeColor="accent1" w:themeShade="BF"/>
    </w:rPr>
  </w:style>
  <w:style w:type="character" w:styleId="IntenseReference">
    <w:name w:val="Intense Reference"/>
    <w:basedOn w:val="DefaultParagraphFont"/>
    <w:uiPriority w:val="32"/>
    <w:qFormat/>
    <w:rsid w:val="004570E7"/>
    <w:rPr>
      <w:b/>
      <w:bCs/>
      <w:smallCaps/>
      <w:color w:val="0F4761" w:themeColor="accent1" w:themeShade="BF"/>
      <w:spacing w:val="5"/>
    </w:rPr>
  </w:style>
  <w:style w:type="paragraph" w:styleId="NormalWeb">
    <w:name w:val="Normal (Web)"/>
    <w:basedOn w:val="Normal"/>
    <w:uiPriority w:val="99"/>
    <w:unhideWhenUsed/>
    <w:rsid w:val="004570E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01F7D"/>
  </w:style>
  <w:style w:type="character" w:styleId="Strong">
    <w:name w:val="Strong"/>
    <w:basedOn w:val="DefaultParagraphFont"/>
    <w:uiPriority w:val="22"/>
    <w:qFormat/>
    <w:rsid w:val="00A01F7D"/>
    <w:rPr>
      <w:b/>
      <w:bCs/>
    </w:rPr>
  </w:style>
  <w:style w:type="paragraph" w:customStyle="1" w:styleId="MDPI31text">
    <w:name w:val="MDPI_3.1_text"/>
    <w:qFormat/>
    <w:rsid w:val="00247D97"/>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character" w:styleId="Emphasis">
    <w:name w:val="Emphasis"/>
    <w:basedOn w:val="DefaultParagraphFont"/>
    <w:uiPriority w:val="20"/>
    <w:qFormat/>
    <w:rsid w:val="00247D97"/>
    <w:rPr>
      <w:i/>
      <w:iCs/>
    </w:rPr>
  </w:style>
  <w:style w:type="character" w:styleId="Hyperlink">
    <w:name w:val="Hyperlink"/>
    <w:basedOn w:val="DefaultParagraphFont"/>
    <w:uiPriority w:val="99"/>
    <w:unhideWhenUsed/>
    <w:rsid w:val="00247D97"/>
    <w:rPr>
      <w:color w:val="0000FF"/>
      <w:u w:val="single"/>
    </w:rPr>
  </w:style>
  <w:style w:type="character" w:customStyle="1" w:styleId="y2iqfc">
    <w:name w:val="y2iqfc"/>
    <w:basedOn w:val="DefaultParagraphFont"/>
    <w:rsid w:val="008E5601"/>
  </w:style>
  <w:style w:type="paragraph" w:customStyle="1" w:styleId="skip-numbering">
    <w:name w:val="skip-numbering"/>
    <w:basedOn w:val="Normal"/>
    <w:rsid w:val="00F44DA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1494">
      <w:bodyDiv w:val="1"/>
      <w:marLeft w:val="0"/>
      <w:marRight w:val="0"/>
      <w:marTop w:val="0"/>
      <w:marBottom w:val="0"/>
      <w:divBdr>
        <w:top w:val="none" w:sz="0" w:space="0" w:color="auto"/>
        <w:left w:val="none" w:sz="0" w:space="0" w:color="auto"/>
        <w:bottom w:val="none" w:sz="0" w:space="0" w:color="auto"/>
        <w:right w:val="none" w:sz="0" w:space="0" w:color="auto"/>
      </w:divBdr>
    </w:div>
    <w:div w:id="179708640">
      <w:bodyDiv w:val="1"/>
      <w:marLeft w:val="0"/>
      <w:marRight w:val="0"/>
      <w:marTop w:val="0"/>
      <w:marBottom w:val="0"/>
      <w:divBdr>
        <w:top w:val="none" w:sz="0" w:space="0" w:color="auto"/>
        <w:left w:val="none" w:sz="0" w:space="0" w:color="auto"/>
        <w:bottom w:val="none" w:sz="0" w:space="0" w:color="auto"/>
        <w:right w:val="none" w:sz="0" w:space="0" w:color="auto"/>
      </w:divBdr>
    </w:div>
    <w:div w:id="224535142">
      <w:bodyDiv w:val="1"/>
      <w:marLeft w:val="0"/>
      <w:marRight w:val="0"/>
      <w:marTop w:val="0"/>
      <w:marBottom w:val="0"/>
      <w:divBdr>
        <w:top w:val="none" w:sz="0" w:space="0" w:color="auto"/>
        <w:left w:val="none" w:sz="0" w:space="0" w:color="auto"/>
        <w:bottom w:val="none" w:sz="0" w:space="0" w:color="auto"/>
        <w:right w:val="none" w:sz="0" w:space="0" w:color="auto"/>
      </w:divBdr>
    </w:div>
    <w:div w:id="254898058">
      <w:bodyDiv w:val="1"/>
      <w:marLeft w:val="0"/>
      <w:marRight w:val="0"/>
      <w:marTop w:val="0"/>
      <w:marBottom w:val="0"/>
      <w:divBdr>
        <w:top w:val="none" w:sz="0" w:space="0" w:color="auto"/>
        <w:left w:val="none" w:sz="0" w:space="0" w:color="auto"/>
        <w:bottom w:val="none" w:sz="0" w:space="0" w:color="auto"/>
        <w:right w:val="none" w:sz="0" w:space="0" w:color="auto"/>
      </w:divBdr>
    </w:div>
    <w:div w:id="295065212">
      <w:bodyDiv w:val="1"/>
      <w:marLeft w:val="0"/>
      <w:marRight w:val="0"/>
      <w:marTop w:val="0"/>
      <w:marBottom w:val="0"/>
      <w:divBdr>
        <w:top w:val="none" w:sz="0" w:space="0" w:color="auto"/>
        <w:left w:val="none" w:sz="0" w:space="0" w:color="auto"/>
        <w:bottom w:val="none" w:sz="0" w:space="0" w:color="auto"/>
        <w:right w:val="none" w:sz="0" w:space="0" w:color="auto"/>
      </w:divBdr>
    </w:div>
    <w:div w:id="313532003">
      <w:bodyDiv w:val="1"/>
      <w:marLeft w:val="0"/>
      <w:marRight w:val="0"/>
      <w:marTop w:val="0"/>
      <w:marBottom w:val="0"/>
      <w:divBdr>
        <w:top w:val="none" w:sz="0" w:space="0" w:color="auto"/>
        <w:left w:val="none" w:sz="0" w:space="0" w:color="auto"/>
        <w:bottom w:val="none" w:sz="0" w:space="0" w:color="auto"/>
        <w:right w:val="none" w:sz="0" w:space="0" w:color="auto"/>
      </w:divBdr>
    </w:div>
    <w:div w:id="479082940">
      <w:bodyDiv w:val="1"/>
      <w:marLeft w:val="0"/>
      <w:marRight w:val="0"/>
      <w:marTop w:val="0"/>
      <w:marBottom w:val="0"/>
      <w:divBdr>
        <w:top w:val="none" w:sz="0" w:space="0" w:color="auto"/>
        <w:left w:val="none" w:sz="0" w:space="0" w:color="auto"/>
        <w:bottom w:val="none" w:sz="0" w:space="0" w:color="auto"/>
        <w:right w:val="none" w:sz="0" w:space="0" w:color="auto"/>
      </w:divBdr>
    </w:div>
    <w:div w:id="487013870">
      <w:bodyDiv w:val="1"/>
      <w:marLeft w:val="0"/>
      <w:marRight w:val="0"/>
      <w:marTop w:val="0"/>
      <w:marBottom w:val="0"/>
      <w:divBdr>
        <w:top w:val="none" w:sz="0" w:space="0" w:color="auto"/>
        <w:left w:val="none" w:sz="0" w:space="0" w:color="auto"/>
        <w:bottom w:val="none" w:sz="0" w:space="0" w:color="auto"/>
        <w:right w:val="none" w:sz="0" w:space="0" w:color="auto"/>
      </w:divBdr>
    </w:div>
    <w:div w:id="513762441">
      <w:bodyDiv w:val="1"/>
      <w:marLeft w:val="0"/>
      <w:marRight w:val="0"/>
      <w:marTop w:val="0"/>
      <w:marBottom w:val="0"/>
      <w:divBdr>
        <w:top w:val="none" w:sz="0" w:space="0" w:color="auto"/>
        <w:left w:val="none" w:sz="0" w:space="0" w:color="auto"/>
        <w:bottom w:val="none" w:sz="0" w:space="0" w:color="auto"/>
        <w:right w:val="none" w:sz="0" w:space="0" w:color="auto"/>
      </w:divBdr>
    </w:div>
    <w:div w:id="537163323">
      <w:bodyDiv w:val="1"/>
      <w:marLeft w:val="0"/>
      <w:marRight w:val="0"/>
      <w:marTop w:val="0"/>
      <w:marBottom w:val="0"/>
      <w:divBdr>
        <w:top w:val="none" w:sz="0" w:space="0" w:color="auto"/>
        <w:left w:val="none" w:sz="0" w:space="0" w:color="auto"/>
        <w:bottom w:val="none" w:sz="0" w:space="0" w:color="auto"/>
        <w:right w:val="none" w:sz="0" w:space="0" w:color="auto"/>
      </w:divBdr>
    </w:div>
    <w:div w:id="546725718">
      <w:bodyDiv w:val="1"/>
      <w:marLeft w:val="0"/>
      <w:marRight w:val="0"/>
      <w:marTop w:val="0"/>
      <w:marBottom w:val="0"/>
      <w:divBdr>
        <w:top w:val="none" w:sz="0" w:space="0" w:color="auto"/>
        <w:left w:val="none" w:sz="0" w:space="0" w:color="auto"/>
        <w:bottom w:val="none" w:sz="0" w:space="0" w:color="auto"/>
        <w:right w:val="none" w:sz="0" w:space="0" w:color="auto"/>
      </w:divBdr>
    </w:div>
    <w:div w:id="580527036">
      <w:bodyDiv w:val="1"/>
      <w:marLeft w:val="0"/>
      <w:marRight w:val="0"/>
      <w:marTop w:val="0"/>
      <w:marBottom w:val="0"/>
      <w:divBdr>
        <w:top w:val="none" w:sz="0" w:space="0" w:color="auto"/>
        <w:left w:val="none" w:sz="0" w:space="0" w:color="auto"/>
        <w:bottom w:val="none" w:sz="0" w:space="0" w:color="auto"/>
        <w:right w:val="none" w:sz="0" w:space="0" w:color="auto"/>
      </w:divBdr>
    </w:div>
    <w:div w:id="581066608">
      <w:bodyDiv w:val="1"/>
      <w:marLeft w:val="0"/>
      <w:marRight w:val="0"/>
      <w:marTop w:val="0"/>
      <w:marBottom w:val="0"/>
      <w:divBdr>
        <w:top w:val="none" w:sz="0" w:space="0" w:color="auto"/>
        <w:left w:val="none" w:sz="0" w:space="0" w:color="auto"/>
        <w:bottom w:val="none" w:sz="0" w:space="0" w:color="auto"/>
        <w:right w:val="none" w:sz="0" w:space="0" w:color="auto"/>
      </w:divBdr>
    </w:div>
    <w:div w:id="608316837">
      <w:bodyDiv w:val="1"/>
      <w:marLeft w:val="0"/>
      <w:marRight w:val="0"/>
      <w:marTop w:val="0"/>
      <w:marBottom w:val="0"/>
      <w:divBdr>
        <w:top w:val="none" w:sz="0" w:space="0" w:color="auto"/>
        <w:left w:val="none" w:sz="0" w:space="0" w:color="auto"/>
        <w:bottom w:val="none" w:sz="0" w:space="0" w:color="auto"/>
        <w:right w:val="none" w:sz="0" w:space="0" w:color="auto"/>
      </w:divBdr>
    </w:div>
    <w:div w:id="735515039">
      <w:bodyDiv w:val="1"/>
      <w:marLeft w:val="0"/>
      <w:marRight w:val="0"/>
      <w:marTop w:val="0"/>
      <w:marBottom w:val="0"/>
      <w:divBdr>
        <w:top w:val="none" w:sz="0" w:space="0" w:color="auto"/>
        <w:left w:val="none" w:sz="0" w:space="0" w:color="auto"/>
        <w:bottom w:val="none" w:sz="0" w:space="0" w:color="auto"/>
        <w:right w:val="none" w:sz="0" w:space="0" w:color="auto"/>
      </w:divBdr>
    </w:div>
    <w:div w:id="785082043">
      <w:bodyDiv w:val="1"/>
      <w:marLeft w:val="0"/>
      <w:marRight w:val="0"/>
      <w:marTop w:val="0"/>
      <w:marBottom w:val="0"/>
      <w:divBdr>
        <w:top w:val="none" w:sz="0" w:space="0" w:color="auto"/>
        <w:left w:val="none" w:sz="0" w:space="0" w:color="auto"/>
        <w:bottom w:val="none" w:sz="0" w:space="0" w:color="auto"/>
        <w:right w:val="none" w:sz="0" w:space="0" w:color="auto"/>
      </w:divBdr>
      <w:divsChild>
        <w:div w:id="1553345094">
          <w:marLeft w:val="0"/>
          <w:marRight w:val="0"/>
          <w:marTop w:val="0"/>
          <w:marBottom w:val="0"/>
          <w:divBdr>
            <w:top w:val="none" w:sz="0" w:space="0" w:color="auto"/>
            <w:left w:val="none" w:sz="0" w:space="0" w:color="auto"/>
            <w:bottom w:val="none" w:sz="0" w:space="0" w:color="auto"/>
            <w:right w:val="none" w:sz="0" w:space="0" w:color="auto"/>
          </w:divBdr>
          <w:divsChild>
            <w:div w:id="1136218864">
              <w:marLeft w:val="0"/>
              <w:marRight w:val="0"/>
              <w:marTop w:val="0"/>
              <w:marBottom w:val="0"/>
              <w:divBdr>
                <w:top w:val="none" w:sz="0" w:space="0" w:color="auto"/>
                <w:left w:val="none" w:sz="0" w:space="0" w:color="auto"/>
                <w:bottom w:val="none" w:sz="0" w:space="0" w:color="auto"/>
                <w:right w:val="none" w:sz="0" w:space="0" w:color="auto"/>
              </w:divBdr>
              <w:divsChild>
                <w:div w:id="400253299">
                  <w:marLeft w:val="0"/>
                  <w:marRight w:val="0"/>
                  <w:marTop w:val="0"/>
                  <w:marBottom w:val="150"/>
                  <w:divBdr>
                    <w:top w:val="none" w:sz="0" w:space="0" w:color="auto"/>
                    <w:left w:val="none" w:sz="0" w:space="0" w:color="auto"/>
                    <w:bottom w:val="none" w:sz="0" w:space="0" w:color="auto"/>
                    <w:right w:val="none" w:sz="0" w:space="0" w:color="auto"/>
                  </w:divBdr>
                  <w:divsChild>
                    <w:div w:id="1597250069">
                      <w:marLeft w:val="0"/>
                      <w:marRight w:val="0"/>
                      <w:marTop w:val="0"/>
                      <w:marBottom w:val="0"/>
                      <w:divBdr>
                        <w:top w:val="none" w:sz="0" w:space="0" w:color="auto"/>
                        <w:left w:val="none" w:sz="0" w:space="0" w:color="auto"/>
                        <w:bottom w:val="none" w:sz="0" w:space="0" w:color="auto"/>
                        <w:right w:val="none" w:sz="0" w:space="0" w:color="auto"/>
                      </w:divBdr>
                      <w:divsChild>
                        <w:div w:id="15501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8738">
          <w:marLeft w:val="0"/>
          <w:marRight w:val="0"/>
          <w:marTop w:val="0"/>
          <w:marBottom w:val="0"/>
          <w:divBdr>
            <w:top w:val="none" w:sz="0" w:space="0" w:color="auto"/>
            <w:left w:val="none" w:sz="0" w:space="0" w:color="auto"/>
            <w:bottom w:val="none" w:sz="0" w:space="0" w:color="auto"/>
            <w:right w:val="none" w:sz="0" w:space="0" w:color="auto"/>
          </w:divBdr>
          <w:divsChild>
            <w:div w:id="1789278074">
              <w:marLeft w:val="0"/>
              <w:marRight w:val="0"/>
              <w:marTop w:val="0"/>
              <w:marBottom w:val="0"/>
              <w:divBdr>
                <w:top w:val="none" w:sz="0" w:space="0" w:color="auto"/>
                <w:left w:val="none" w:sz="0" w:space="0" w:color="auto"/>
                <w:bottom w:val="none" w:sz="0" w:space="0" w:color="auto"/>
                <w:right w:val="none" w:sz="0" w:space="0" w:color="auto"/>
              </w:divBdr>
              <w:divsChild>
                <w:div w:id="11426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2561">
          <w:marLeft w:val="0"/>
          <w:marRight w:val="0"/>
          <w:marTop w:val="0"/>
          <w:marBottom w:val="0"/>
          <w:divBdr>
            <w:top w:val="none" w:sz="0" w:space="0" w:color="auto"/>
            <w:left w:val="none" w:sz="0" w:space="0" w:color="auto"/>
            <w:bottom w:val="none" w:sz="0" w:space="0" w:color="auto"/>
            <w:right w:val="none" w:sz="0" w:space="0" w:color="auto"/>
          </w:divBdr>
          <w:divsChild>
            <w:div w:id="1802458923">
              <w:marLeft w:val="0"/>
              <w:marRight w:val="0"/>
              <w:marTop w:val="0"/>
              <w:marBottom w:val="0"/>
              <w:divBdr>
                <w:top w:val="none" w:sz="0" w:space="0" w:color="auto"/>
                <w:left w:val="none" w:sz="0" w:space="0" w:color="auto"/>
                <w:bottom w:val="none" w:sz="0" w:space="0" w:color="auto"/>
                <w:right w:val="none" w:sz="0" w:space="0" w:color="auto"/>
              </w:divBdr>
              <w:divsChild>
                <w:div w:id="624239023">
                  <w:marLeft w:val="0"/>
                  <w:marRight w:val="0"/>
                  <w:marTop w:val="0"/>
                  <w:marBottom w:val="150"/>
                  <w:divBdr>
                    <w:top w:val="none" w:sz="0" w:space="0" w:color="auto"/>
                    <w:left w:val="none" w:sz="0" w:space="0" w:color="auto"/>
                    <w:bottom w:val="none" w:sz="0" w:space="0" w:color="auto"/>
                    <w:right w:val="none" w:sz="0" w:space="0" w:color="auto"/>
                  </w:divBdr>
                  <w:divsChild>
                    <w:div w:id="1939872541">
                      <w:marLeft w:val="0"/>
                      <w:marRight w:val="0"/>
                      <w:marTop w:val="0"/>
                      <w:marBottom w:val="0"/>
                      <w:divBdr>
                        <w:top w:val="none" w:sz="0" w:space="0" w:color="auto"/>
                        <w:left w:val="none" w:sz="0" w:space="0" w:color="auto"/>
                        <w:bottom w:val="none" w:sz="0" w:space="0" w:color="auto"/>
                        <w:right w:val="none" w:sz="0" w:space="0" w:color="auto"/>
                      </w:divBdr>
                      <w:divsChild>
                        <w:div w:id="335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63315">
      <w:bodyDiv w:val="1"/>
      <w:marLeft w:val="0"/>
      <w:marRight w:val="0"/>
      <w:marTop w:val="0"/>
      <w:marBottom w:val="0"/>
      <w:divBdr>
        <w:top w:val="none" w:sz="0" w:space="0" w:color="auto"/>
        <w:left w:val="none" w:sz="0" w:space="0" w:color="auto"/>
        <w:bottom w:val="none" w:sz="0" w:space="0" w:color="auto"/>
        <w:right w:val="none" w:sz="0" w:space="0" w:color="auto"/>
      </w:divBdr>
    </w:div>
    <w:div w:id="1155956589">
      <w:bodyDiv w:val="1"/>
      <w:marLeft w:val="0"/>
      <w:marRight w:val="0"/>
      <w:marTop w:val="0"/>
      <w:marBottom w:val="0"/>
      <w:divBdr>
        <w:top w:val="none" w:sz="0" w:space="0" w:color="auto"/>
        <w:left w:val="none" w:sz="0" w:space="0" w:color="auto"/>
        <w:bottom w:val="none" w:sz="0" w:space="0" w:color="auto"/>
        <w:right w:val="none" w:sz="0" w:space="0" w:color="auto"/>
      </w:divBdr>
    </w:div>
    <w:div w:id="1252159324">
      <w:bodyDiv w:val="1"/>
      <w:marLeft w:val="0"/>
      <w:marRight w:val="0"/>
      <w:marTop w:val="0"/>
      <w:marBottom w:val="0"/>
      <w:divBdr>
        <w:top w:val="none" w:sz="0" w:space="0" w:color="auto"/>
        <w:left w:val="none" w:sz="0" w:space="0" w:color="auto"/>
        <w:bottom w:val="none" w:sz="0" w:space="0" w:color="auto"/>
        <w:right w:val="none" w:sz="0" w:space="0" w:color="auto"/>
      </w:divBdr>
    </w:div>
    <w:div w:id="1449467271">
      <w:bodyDiv w:val="1"/>
      <w:marLeft w:val="0"/>
      <w:marRight w:val="0"/>
      <w:marTop w:val="0"/>
      <w:marBottom w:val="0"/>
      <w:divBdr>
        <w:top w:val="none" w:sz="0" w:space="0" w:color="auto"/>
        <w:left w:val="none" w:sz="0" w:space="0" w:color="auto"/>
        <w:bottom w:val="none" w:sz="0" w:space="0" w:color="auto"/>
        <w:right w:val="none" w:sz="0" w:space="0" w:color="auto"/>
      </w:divBdr>
    </w:div>
    <w:div w:id="1466661087">
      <w:bodyDiv w:val="1"/>
      <w:marLeft w:val="0"/>
      <w:marRight w:val="0"/>
      <w:marTop w:val="0"/>
      <w:marBottom w:val="0"/>
      <w:divBdr>
        <w:top w:val="none" w:sz="0" w:space="0" w:color="auto"/>
        <w:left w:val="none" w:sz="0" w:space="0" w:color="auto"/>
        <w:bottom w:val="none" w:sz="0" w:space="0" w:color="auto"/>
        <w:right w:val="none" w:sz="0" w:space="0" w:color="auto"/>
      </w:divBdr>
    </w:div>
    <w:div w:id="1522743129">
      <w:bodyDiv w:val="1"/>
      <w:marLeft w:val="0"/>
      <w:marRight w:val="0"/>
      <w:marTop w:val="0"/>
      <w:marBottom w:val="0"/>
      <w:divBdr>
        <w:top w:val="none" w:sz="0" w:space="0" w:color="auto"/>
        <w:left w:val="none" w:sz="0" w:space="0" w:color="auto"/>
        <w:bottom w:val="none" w:sz="0" w:space="0" w:color="auto"/>
        <w:right w:val="none" w:sz="0" w:space="0" w:color="auto"/>
      </w:divBdr>
    </w:div>
    <w:div w:id="1588729122">
      <w:bodyDiv w:val="1"/>
      <w:marLeft w:val="0"/>
      <w:marRight w:val="0"/>
      <w:marTop w:val="0"/>
      <w:marBottom w:val="0"/>
      <w:divBdr>
        <w:top w:val="none" w:sz="0" w:space="0" w:color="auto"/>
        <w:left w:val="none" w:sz="0" w:space="0" w:color="auto"/>
        <w:bottom w:val="none" w:sz="0" w:space="0" w:color="auto"/>
        <w:right w:val="none" w:sz="0" w:space="0" w:color="auto"/>
      </w:divBdr>
    </w:div>
    <w:div w:id="1616058013">
      <w:bodyDiv w:val="1"/>
      <w:marLeft w:val="0"/>
      <w:marRight w:val="0"/>
      <w:marTop w:val="0"/>
      <w:marBottom w:val="0"/>
      <w:divBdr>
        <w:top w:val="none" w:sz="0" w:space="0" w:color="auto"/>
        <w:left w:val="none" w:sz="0" w:space="0" w:color="auto"/>
        <w:bottom w:val="none" w:sz="0" w:space="0" w:color="auto"/>
        <w:right w:val="none" w:sz="0" w:space="0" w:color="auto"/>
      </w:divBdr>
    </w:div>
    <w:div w:id="1678802195">
      <w:bodyDiv w:val="1"/>
      <w:marLeft w:val="0"/>
      <w:marRight w:val="0"/>
      <w:marTop w:val="0"/>
      <w:marBottom w:val="0"/>
      <w:divBdr>
        <w:top w:val="none" w:sz="0" w:space="0" w:color="auto"/>
        <w:left w:val="none" w:sz="0" w:space="0" w:color="auto"/>
        <w:bottom w:val="none" w:sz="0" w:space="0" w:color="auto"/>
        <w:right w:val="none" w:sz="0" w:space="0" w:color="auto"/>
      </w:divBdr>
    </w:div>
    <w:div w:id="1735543891">
      <w:bodyDiv w:val="1"/>
      <w:marLeft w:val="0"/>
      <w:marRight w:val="0"/>
      <w:marTop w:val="0"/>
      <w:marBottom w:val="0"/>
      <w:divBdr>
        <w:top w:val="none" w:sz="0" w:space="0" w:color="auto"/>
        <w:left w:val="none" w:sz="0" w:space="0" w:color="auto"/>
        <w:bottom w:val="none" w:sz="0" w:space="0" w:color="auto"/>
        <w:right w:val="none" w:sz="0" w:space="0" w:color="auto"/>
      </w:divBdr>
    </w:div>
    <w:div w:id="1741907673">
      <w:bodyDiv w:val="1"/>
      <w:marLeft w:val="0"/>
      <w:marRight w:val="0"/>
      <w:marTop w:val="0"/>
      <w:marBottom w:val="0"/>
      <w:divBdr>
        <w:top w:val="none" w:sz="0" w:space="0" w:color="auto"/>
        <w:left w:val="none" w:sz="0" w:space="0" w:color="auto"/>
        <w:bottom w:val="none" w:sz="0" w:space="0" w:color="auto"/>
        <w:right w:val="none" w:sz="0" w:space="0" w:color="auto"/>
      </w:divBdr>
    </w:div>
    <w:div w:id="1751657812">
      <w:bodyDiv w:val="1"/>
      <w:marLeft w:val="0"/>
      <w:marRight w:val="0"/>
      <w:marTop w:val="0"/>
      <w:marBottom w:val="0"/>
      <w:divBdr>
        <w:top w:val="none" w:sz="0" w:space="0" w:color="auto"/>
        <w:left w:val="none" w:sz="0" w:space="0" w:color="auto"/>
        <w:bottom w:val="none" w:sz="0" w:space="0" w:color="auto"/>
        <w:right w:val="none" w:sz="0" w:space="0" w:color="auto"/>
      </w:divBdr>
    </w:div>
    <w:div w:id="1819492068">
      <w:bodyDiv w:val="1"/>
      <w:marLeft w:val="0"/>
      <w:marRight w:val="0"/>
      <w:marTop w:val="0"/>
      <w:marBottom w:val="0"/>
      <w:divBdr>
        <w:top w:val="none" w:sz="0" w:space="0" w:color="auto"/>
        <w:left w:val="none" w:sz="0" w:space="0" w:color="auto"/>
        <w:bottom w:val="none" w:sz="0" w:space="0" w:color="auto"/>
        <w:right w:val="none" w:sz="0" w:space="0" w:color="auto"/>
      </w:divBdr>
    </w:div>
    <w:div w:id="1857883107">
      <w:bodyDiv w:val="1"/>
      <w:marLeft w:val="0"/>
      <w:marRight w:val="0"/>
      <w:marTop w:val="0"/>
      <w:marBottom w:val="0"/>
      <w:divBdr>
        <w:top w:val="none" w:sz="0" w:space="0" w:color="auto"/>
        <w:left w:val="none" w:sz="0" w:space="0" w:color="auto"/>
        <w:bottom w:val="none" w:sz="0" w:space="0" w:color="auto"/>
        <w:right w:val="none" w:sz="0" w:space="0" w:color="auto"/>
      </w:divBdr>
    </w:div>
    <w:div w:id="1874151275">
      <w:bodyDiv w:val="1"/>
      <w:marLeft w:val="0"/>
      <w:marRight w:val="0"/>
      <w:marTop w:val="0"/>
      <w:marBottom w:val="0"/>
      <w:divBdr>
        <w:top w:val="none" w:sz="0" w:space="0" w:color="auto"/>
        <w:left w:val="none" w:sz="0" w:space="0" w:color="auto"/>
        <w:bottom w:val="none" w:sz="0" w:space="0" w:color="auto"/>
        <w:right w:val="none" w:sz="0" w:space="0" w:color="auto"/>
      </w:divBdr>
    </w:div>
    <w:div w:id="1908374696">
      <w:bodyDiv w:val="1"/>
      <w:marLeft w:val="0"/>
      <w:marRight w:val="0"/>
      <w:marTop w:val="0"/>
      <w:marBottom w:val="0"/>
      <w:divBdr>
        <w:top w:val="none" w:sz="0" w:space="0" w:color="auto"/>
        <w:left w:val="none" w:sz="0" w:space="0" w:color="auto"/>
        <w:bottom w:val="none" w:sz="0" w:space="0" w:color="auto"/>
        <w:right w:val="none" w:sz="0" w:space="0" w:color="auto"/>
      </w:divBdr>
    </w:div>
    <w:div w:id="1968848550">
      <w:bodyDiv w:val="1"/>
      <w:marLeft w:val="0"/>
      <w:marRight w:val="0"/>
      <w:marTop w:val="0"/>
      <w:marBottom w:val="0"/>
      <w:divBdr>
        <w:top w:val="none" w:sz="0" w:space="0" w:color="auto"/>
        <w:left w:val="none" w:sz="0" w:space="0" w:color="auto"/>
        <w:bottom w:val="none" w:sz="0" w:space="0" w:color="auto"/>
        <w:right w:val="none" w:sz="0" w:space="0" w:color="auto"/>
      </w:divBdr>
    </w:div>
    <w:div w:id="1979916722">
      <w:bodyDiv w:val="1"/>
      <w:marLeft w:val="0"/>
      <w:marRight w:val="0"/>
      <w:marTop w:val="0"/>
      <w:marBottom w:val="0"/>
      <w:divBdr>
        <w:top w:val="none" w:sz="0" w:space="0" w:color="auto"/>
        <w:left w:val="none" w:sz="0" w:space="0" w:color="auto"/>
        <w:bottom w:val="none" w:sz="0" w:space="0" w:color="auto"/>
        <w:right w:val="none" w:sz="0" w:space="0" w:color="auto"/>
      </w:divBdr>
    </w:div>
    <w:div w:id="205049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Оспанова</dc:creator>
  <cp:keywords/>
  <dc:description/>
  <cp:lastModifiedBy>Мария Оспанова</cp:lastModifiedBy>
  <cp:revision>9</cp:revision>
  <cp:lastPrinted>2026-04-19T08:29:00Z</cp:lastPrinted>
  <dcterms:created xsi:type="dcterms:W3CDTF">2026-04-19T08:29:00Z</dcterms:created>
  <dcterms:modified xsi:type="dcterms:W3CDTF">2026-04-30T01:22:00Z</dcterms:modified>
</cp:coreProperties>
</file>